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4C36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000000" w:rsidRDefault="00A64C36">
      <w:pPr>
        <w:spacing w:after="0" w:line="240" w:lineRule="auto"/>
        <w:ind w:left="-1418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Управління  Державної  казначейської служби України у Сторожинецькому районі     Чернівецької області </w:t>
      </w:r>
    </w:p>
    <w:p w:rsidR="00000000" w:rsidRDefault="00A64C36">
      <w:pPr>
        <w:spacing w:after="0" w:line="240" w:lineRule="auto"/>
        <w:ind w:left="-1418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(У ДКСУ  у Сторожинецькому районі Чернівецької області)</w:t>
      </w:r>
    </w:p>
    <w:p w:rsidR="00000000" w:rsidRDefault="00A64C3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000000" w:rsidRDefault="00A64C36">
      <w:pPr>
        <w:spacing w:before="28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000000" w:rsidRDefault="00A64C36">
      <w:pPr>
        <w:spacing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4"/>
          <w:szCs w:val="24"/>
        </w:rPr>
        <w:t>закупівлі природ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ного газу, </w:t>
      </w:r>
      <w:r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000000" w:rsidRDefault="00A64C36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00000" w:rsidRDefault="00A64C36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Найменування, місцезнаходження та ідентифікаційний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код замовника в Єдиному державному реєстрі юридичних осіб, фізичних осіб — підприємців та громадських формувань, його категорія: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правління  Державної  казначейської служби України у Сторожинецькому районі Чернівецької області;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вул. Ватутіна,11, м. Сторо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жинець, Чернівецька область, Україна, 59000; код за ЄДРПОУ – 37835756;  категорія замовника – орган державної влади.</w:t>
      </w:r>
    </w:p>
    <w:p w:rsidR="00000000" w:rsidRDefault="00A64C36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Природний газ, код 09120000-6 </w:t>
      </w:r>
      <w:r>
        <w:rPr>
          <w:rFonts w:ascii="Times New Roman" w:eastAsia="Times New Roman" w:hAnsi="Times New Roman"/>
          <w:sz w:val="24"/>
          <w:szCs w:val="24"/>
        </w:rPr>
        <w:t>—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Газове паливо за ДК 021:2015 «Єдиний закупівельний словник» (код номенклатурн</w:t>
      </w:r>
      <w:r>
        <w:rPr>
          <w:rFonts w:ascii="Times New Roman" w:eastAsia="Times New Roman" w:hAnsi="Times New Roman"/>
          <w:sz w:val="24"/>
          <w:szCs w:val="24"/>
        </w:rPr>
        <w:t>ої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позиці</w:t>
      </w:r>
      <w:r>
        <w:rPr>
          <w:rFonts w:ascii="Times New Roman" w:eastAsia="Times New Roman" w:hAnsi="Times New Roman"/>
          <w:sz w:val="24"/>
          <w:szCs w:val="24"/>
        </w:rPr>
        <w:t>ї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09123000</w:t>
      </w:r>
      <w:r>
        <w:rPr>
          <w:rFonts w:ascii="Times New Roman" w:eastAsia="Times New Roman" w:hAnsi="Times New Roman"/>
          <w:color w:val="242424"/>
          <w:sz w:val="24"/>
          <w:szCs w:val="24"/>
        </w:rPr>
        <w:t>-7 Природний газ).</w:t>
      </w:r>
    </w:p>
    <w:p w:rsidR="00000000" w:rsidRDefault="00A64C36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0000" w:rsidRDefault="00A64C36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Відкриті торги,  № закупівлі </w:t>
      </w:r>
      <w:r>
        <w:rPr>
          <w:rFonts w:ascii="Times New Roman" w:eastAsia="Times New Roman" w:hAnsi="Times New Roman"/>
          <w:color w:val="000000"/>
          <w:sz w:val="24"/>
          <w:szCs w:val="24"/>
        </w:rPr>
        <w:t>UA-2022-11-21-010048-a  .</w:t>
      </w:r>
    </w:p>
    <w:p w:rsidR="00000000" w:rsidRDefault="00A64C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eading=h.3znysh7"/>
      <w:bookmarkEnd w:id="1"/>
      <w:r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bookmarkStart w:id="2" w:name="__DdeLink__1316_1247573149"/>
      <w:r>
        <w:rPr>
          <w:rFonts w:ascii="Times New Roman" w:eastAsia="Times New Roman" w:hAnsi="Times New Roman"/>
          <w:b/>
          <w:bCs/>
          <w:sz w:val="26"/>
          <w:szCs w:val="26"/>
        </w:rPr>
        <w:t>67870,95 грн.</w:t>
      </w:r>
      <w:bookmarkEnd w:id="2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з ПДВ.</w:t>
      </w:r>
    </w:p>
    <w:p w:rsidR="00000000" w:rsidRDefault="00A64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</w:t>
      </w:r>
      <w:r>
        <w:rPr>
          <w:rFonts w:ascii="Times New Roman" w:eastAsia="Times New Roman" w:hAnsi="Times New Roman"/>
          <w:sz w:val="24"/>
          <w:szCs w:val="24"/>
        </w:rPr>
        <w:t>ої вартості предмета закупівлі з урахуванням пункту 1 постанови Кабінету Міністрів України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</w:t>
      </w:r>
      <w:r>
        <w:rPr>
          <w:rFonts w:ascii="Times New Roman" w:eastAsia="Times New Roman" w:hAnsi="Times New Roman"/>
          <w:sz w:val="24"/>
          <w:szCs w:val="24"/>
        </w:rPr>
        <w:t>ування ринку природного газу щодо особливостей постачання природного газу виробникам теплової енергії та бюджетним установам» (зі змінами і доповненнями) № 812 від 19 липня 2022 року ухвалив Положення (далі — Положення), яким визначено обсяг та умови викон</w:t>
      </w:r>
      <w:r>
        <w:rPr>
          <w:rFonts w:ascii="Times New Roman" w:eastAsia="Times New Roman" w:hAnsi="Times New Roman"/>
          <w:sz w:val="24"/>
          <w:szCs w:val="24"/>
        </w:rPr>
        <w:t>ання спеціальних обов’язків, що покладаються на суб’єктів ринку природного газу для забезпечення загальносуспільних інтересів у процесі функціонування ринку природного газу (далі — спеціальні обов’язки), зокрема для забезпечення стабільності, належної якос</w:t>
      </w:r>
      <w:r>
        <w:rPr>
          <w:rFonts w:ascii="Times New Roman" w:eastAsia="Times New Roman" w:hAnsi="Times New Roman"/>
          <w:sz w:val="24"/>
          <w:szCs w:val="24"/>
        </w:rPr>
        <w:t>ті та доступності природного газу, підтримання належного рівня безпеки його постачання споживачам без загрози першочерговій цілі створення повноцінного ринку природного газу, заснованого на засадах вільної конкуренції з дотриманням принципів пропорційності</w:t>
      </w:r>
      <w:r>
        <w:rPr>
          <w:rFonts w:ascii="Times New Roman" w:eastAsia="Times New Roman" w:hAnsi="Times New Roman"/>
          <w:sz w:val="24"/>
          <w:szCs w:val="24"/>
        </w:rPr>
        <w:t>, прозорості та недискримінації.</w:t>
      </w:r>
    </w:p>
    <w:p w:rsidR="00000000" w:rsidRDefault="00A64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Відповідно до підпункту 2 пункту 4 Положення такі спеціальні обов’язки п</w:t>
      </w:r>
      <w:r>
        <w:rPr>
          <w:rFonts w:ascii="Times New Roman" w:eastAsia="Times New Roman" w:hAnsi="Times New Roman"/>
          <w:sz w:val="24"/>
          <w:szCs w:val="24"/>
        </w:rPr>
        <w:t>окладено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ТОВ «Газопостачальна компанія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Нафтогаз Трейдинг“» щодо забезпечення постачання природного газу споживачам, що є бюджетними установами відп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овідно до </w:t>
      </w:r>
      <w:hyperlink r:id="rId4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</w:rPr>
          <w:t>Бюджетного кодексу України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закладам охорони здоров’я державної власності (казенні підприємства та / або державні установи тощо) </w:t>
      </w:r>
      <w:r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закладам охорони здоров’я комунальної власності (комун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альні некомерційні підприємства та / або комунальні установи, та / або спільні комунальні підприємства тощо) (далі </w:t>
      </w:r>
      <w:r>
        <w:rPr>
          <w:rFonts w:ascii="Times New Roman" w:eastAsia="Times New Roman" w:hAnsi="Times New Roman"/>
          <w:sz w:val="24"/>
          <w:szCs w:val="24"/>
        </w:rPr>
        <w:t>—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бюджетні установи) на умовах, передбачених </w:t>
      </w:r>
      <w:hyperlink r:id="rId5" w:anchor="n34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</w:rPr>
          <w:t>пунктом 6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цього Положенн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я.</w:t>
      </w:r>
    </w:p>
    <w:p w:rsidR="00000000" w:rsidRDefault="00A64C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Пунктом 6 Положення визначено, що ТОВ «Газопостачальна компанія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Нафтогаз Трейдинг“» може  постач</w:t>
      </w:r>
      <w:r>
        <w:rPr>
          <w:rFonts w:ascii="Times New Roman" w:eastAsia="Times New Roman" w:hAnsi="Times New Roman"/>
          <w:sz w:val="24"/>
          <w:szCs w:val="24"/>
        </w:rPr>
        <w:t xml:space="preserve">ати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 1 вересня 2022 р. по 31 березня 2023 р. (включно) природний газ бюджетним установам за ціною, що становить 16 390 гривень з урахуванням податку на дод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ану вартість за 1000 куб. метрів газу (без урахування тарифу на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:rsidR="00000000" w:rsidRDefault="00A64C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Для порівняння небюджетним установам  ГК «Нафтогаз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України» пропонує ціну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46 500 грн за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1 тис. куб. 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 ТОВ «ЕНЕРДЖІ ТРЕЙД ГРУП» пропонує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49 200 грн за 1 тис. куб. 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А ТОВ «ЕНЕРА-ВІННИЦЯ» —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42265,50 грн за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1 тис. куб. м.</w:t>
      </w:r>
    </w:p>
    <w:p w:rsidR="00000000" w:rsidRDefault="00A64C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00000" w:rsidRDefault="00A64C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Відповідно до пункту 12 частини 1 статті 2 розділу 1 Бюджетного кодексу України бюд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жетні установи — це органи державної влади, органи місцевого самоврядування, а також організації,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неприбутко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вими. </w:t>
      </w:r>
      <w:r>
        <w:rPr>
          <w:rFonts w:ascii="Times New Roman" w:eastAsia="Times New Roman" w:hAnsi="Times New Roman"/>
          <w:sz w:val="24"/>
          <w:szCs w:val="24"/>
        </w:rPr>
        <w:t xml:space="preserve">Тож, замовник має право отримувати природний газ за найбільш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економічно вигідною ціною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16 553,89 грн. з ПДВ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(з урахуванням тарифу на послуги з транспортування природного газу для точки виходу та коефіцієнта, який застосовується у разі замовлення поту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жності на добу наперед).</w:t>
      </w:r>
    </w:p>
    <w:p w:rsidR="00000000" w:rsidRDefault="00A64C3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Визначення обсягу предмета закупівлі визначено аналізом споживання  природного газу попередній календарний рік.</w:t>
      </w:r>
    </w:p>
    <w:p w:rsidR="00000000" w:rsidRDefault="00A64C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Згідно з викладеним вище, згідно із Законом та потребами Замовника, очікувана вартість предмета закупівлі розрахована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таким чином: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4100 м/куб * 16553,89 грн з ПДВ (ціна за 1 тис. куб. м природного газу, яку пропонує ТОВ Газопостачальна компанія «Нафтогаз Трейдинг») =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67870,95 грн. з ПДВ.</w:t>
      </w:r>
    </w:p>
    <w:p w:rsidR="00000000" w:rsidRDefault="00A64C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00000" w:rsidRDefault="00A64C3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000000" w:rsidRDefault="00A64C36">
      <w:pPr>
        <w:spacing w:after="0" w:line="25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Природний газ (природний газ, нафт</w:t>
      </w:r>
      <w:r>
        <w:rPr>
          <w:rFonts w:ascii="Times New Roman" w:eastAsia="Times New Roman" w:hAnsi="Times New Roman"/>
          <w:sz w:val="24"/>
          <w:szCs w:val="24"/>
        </w:rPr>
        <w:t>овий (попутний) газ, газ (метан) вугільних родовищ та газ сланцевих товщ) — корисна копалина, яка є сумішшю вуглеводнів та невуглеводневих компонентів, перебуває у газоподібному стані за стандартних умов (тиск — 760 мм ртутного стовпа і температура — 20° C</w:t>
      </w:r>
      <w:r>
        <w:rPr>
          <w:rFonts w:ascii="Times New Roman" w:eastAsia="Times New Roman" w:hAnsi="Times New Roman"/>
          <w:sz w:val="24"/>
          <w:szCs w:val="24"/>
        </w:rPr>
        <w:t xml:space="preserve">) і є товарною продукцією. </w:t>
      </w:r>
    </w:p>
    <w:p w:rsidR="00000000" w:rsidRDefault="00A64C36">
      <w:pPr>
        <w:spacing w:after="0" w:line="25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Кількісною характеристикою предмета закупівлі є обсяг споживання природного газу. </w:t>
      </w:r>
    </w:p>
    <w:p w:rsidR="00000000" w:rsidRDefault="00A64C36">
      <w:pPr>
        <w:spacing w:after="0" w:line="25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</w:t>
      </w:r>
      <w:r>
        <w:rPr>
          <w:rFonts w:ascii="Times New Roman" w:eastAsia="Times New Roman" w:hAnsi="Times New Roman"/>
          <w:sz w:val="24"/>
          <w:szCs w:val="24"/>
        </w:rPr>
        <w:t>(t) = 20 градусів за Цельсієм, тиск (Р) = 760 мм ртутного стовпчика (101,325 кПа). Обсяг, необхідний для забезпечення діяльності та власних потреб об’єк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тів</w:t>
      </w:r>
      <w:r>
        <w:rPr>
          <w:rFonts w:ascii="Times New Roman" w:eastAsia="Times New Roman" w:hAnsi="Times New Roman"/>
          <w:sz w:val="24"/>
          <w:szCs w:val="24"/>
        </w:rPr>
        <w:t xml:space="preserve"> замовника, та враховуючи обсяги споживання попереднього календарного року, становить 10000 куб. м .</w:t>
      </w:r>
    </w:p>
    <w:p w:rsidR="00000000" w:rsidRDefault="00A64C36">
      <w:pPr>
        <w:spacing w:after="0" w:line="25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Термін постачання — з 01.01.2023 до 31.03.2023 років (включно).</w:t>
      </w:r>
    </w:p>
    <w:p w:rsidR="00000000" w:rsidRDefault="00A64C36">
      <w:pPr>
        <w:spacing w:after="0" w:line="25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30j0zll"/>
      <w:bookmarkEnd w:id="3"/>
      <w:r>
        <w:rPr>
          <w:rFonts w:ascii="Times New Roman" w:eastAsia="Times New Roman" w:hAnsi="Times New Roman"/>
          <w:sz w:val="24"/>
          <w:szCs w:val="24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</w:t>
      </w:r>
      <w:r>
        <w:rPr>
          <w:rFonts w:ascii="Times New Roman" w:eastAsia="Times New Roman" w:hAnsi="Times New Roman"/>
          <w:sz w:val="24"/>
          <w:szCs w:val="24"/>
        </w:rPr>
        <w:t>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</w:t>
      </w:r>
      <w:r>
        <w:rPr>
          <w:rFonts w:ascii="Times New Roman" w:eastAsia="Times New Roman" w:hAnsi="Times New Roman"/>
          <w:sz w:val="24"/>
          <w:szCs w:val="24"/>
        </w:rPr>
        <w:t>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</w:t>
      </w:r>
      <w:r>
        <w:rPr>
          <w:rFonts w:ascii="Times New Roman" w:eastAsia="Times New Roman" w:hAnsi="Times New Roman"/>
          <w:sz w:val="24"/>
          <w:szCs w:val="24"/>
        </w:rPr>
        <w:t>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</w:t>
      </w:r>
      <w:r>
        <w:rPr>
          <w:rFonts w:ascii="Times New Roman" w:eastAsia="Times New Roman" w:hAnsi="Times New Roman"/>
          <w:sz w:val="24"/>
          <w:szCs w:val="24"/>
        </w:rPr>
        <w:t>III.</w:t>
      </w:r>
    </w:p>
    <w:p w:rsidR="00A64C36" w:rsidRDefault="00A64C36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>Якість, ф</w:t>
      </w:r>
      <w:r>
        <w:rPr>
          <w:rFonts w:ascii="Times New Roman" w:eastAsia="Times New Roman" w:hAnsi="Times New Roman"/>
          <w:color w:val="000000"/>
          <w:sz w:val="24"/>
          <w:szCs w:val="24"/>
        </w:rPr>
        <w:t>ізико-хімічні показники (ФХП) та інш</w:t>
      </w:r>
      <w:r>
        <w:rPr>
          <w:rFonts w:ascii="Times New Roman" w:eastAsia="Times New Roman" w:hAnsi="Times New Roman"/>
          <w:sz w:val="24"/>
          <w:szCs w:val="24"/>
        </w:rPr>
        <w:t xml:space="preserve">і характеристики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природного газу, який постачається замовнику, повинні відповідати </w:t>
      </w:r>
      <w:r>
        <w:rPr>
          <w:rFonts w:ascii="Times New Roman" w:eastAsia="Times New Roman" w:hAnsi="Times New Roman"/>
          <w:sz w:val="24"/>
          <w:szCs w:val="24"/>
        </w:rPr>
        <w:t xml:space="preserve">вимогам визначеним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Кодекс</w:t>
      </w:r>
      <w:r>
        <w:rPr>
          <w:rFonts w:ascii="Times New Roman" w:eastAsia="Times New Roman" w:hAnsi="Times New Roman"/>
          <w:sz w:val="24"/>
          <w:szCs w:val="24"/>
        </w:rPr>
        <w:t>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№ 2493</w:t>
      </w:r>
      <w:r>
        <w:rPr>
          <w:rFonts w:ascii="Times New Roman" w:eastAsia="Times New Roman" w:hAnsi="Times New Roman"/>
          <w:sz w:val="24"/>
          <w:szCs w:val="24"/>
        </w:rPr>
        <w:t xml:space="preserve"> 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Кодекс</w:t>
      </w:r>
      <w:r>
        <w:rPr>
          <w:rFonts w:ascii="Times New Roman" w:eastAsia="Times New Roman" w:hAnsi="Times New Roman"/>
          <w:sz w:val="24"/>
          <w:szCs w:val="24"/>
        </w:rPr>
        <w:t>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№ 2494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sectPr w:rsidR="00A64C36">
      <w:pgSz w:w="11906" w:h="16838"/>
      <w:pgMar w:top="850" w:right="850" w:bottom="850" w:left="1417" w:header="720" w:footer="720" w:gutter="0"/>
      <w:pgNumType w:start="1"/>
      <w:cols w:space="72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71FB3"/>
    <w:rsid w:val="00A64C36"/>
    <w:rsid w:val="00E7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rvts0">
    <w:name w:val="rvts0"/>
    <w:basedOn w:val="1"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Heading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pPr>
      <w:keepNext/>
      <w:keepLines/>
      <w:spacing w:before="220" w:after="40"/>
    </w:pPr>
    <w:rPr>
      <w:b/>
    </w:rPr>
  </w:style>
  <w:style w:type="paragraph" w:customStyle="1" w:styleId="Heading6">
    <w:name w:val="Heading 6"/>
    <w:basedOn w:val="a"/>
    <w:next w:val="a"/>
    <w:pPr>
      <w:keepNext/>
      <w:keepLines/>
      <w:spacing w:before="200" w:after="40"/>
    </w:pPr>
    <w:rPr>
      <w:b/>
      <w:sz w:val="20"/>
      <w:szCs w:val="20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rFonts w:ascii="Calibri" w:eastAsia="Calibri" w:hAnsi="Calibri" w:cs="Calibri"/>
      <w:color w:val="00000A"/>
      <w:sz w:val="22"/>
      <w:szCs w:val="22"/>
      <w:lang w:val="uk-UA" w:eastAsia="zh-CN" w:bidi="hi-IN"/>
    </w:rPr>
  </w:style>
  <w:style w:type="paragraph" w:customStyle="1" w:styleId="newsdetailcardtext">
    <w:name w:val="newsdetailcard__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1">
    <w:name w:val="Обычный1"/>
    <w:pPr>
      <w:suppressAutoHyphens/>
    </w:pPr>
    <w:rPr>
      <w:rFonts w:ascii="Arial" w:hAnsi="Arial" w:cs="Arial"/>
      <w:color w:val="000000"/>
      <w:sz w:val="22"/>
      <w:szCs w:val="22"/>
      <w:lang w:val="uk-UA" w:eastAsia="zh-CN" w:bidi="hi-IN"/>
    </w:rPr>
  </w:style>
  <w:style w:type="paragraph" w:styleId="ab">
    <w:name w:val="Subtitle"/>
    <w:basedOn w:val="LO-normal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812-2022-&#1087;" TargetMode="External"/><Relationship Id="rId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2800-polishukm</cp:lastModifiedBy>
  <cp:revision>2</cp:revision>
  <cp:lastPrinted>1601-01-01T00:00:00Z</cp:lastPrinted>
  <dcterms:created xsi:type="dcterms:W3CDTF">2022-12-05T16:00:00Z</dcterms:created>
  <dcterms:modified xsi:type="dcterms:W3CDTF">2022-12-05T16:00:00Z</dcterms:modified>
</cp:coreProperties>
</file>