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
    </w:p>
    <w:p>
      <w:pPr>
        <w:pStyle w:val="Normal"/>
        <w:spacing w:lineRule="auto" w:line="240" w:before="0" w:after="0"/>
        <w:ind w:left="-1418"/>
        <w:jc w:val="center"/>
        <w:rPr/>
      </w:pP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b/>
          <w:bCs/>
          <w:sz w:val="26"/>
          <w:szCs w:val="26"/>
          <w:lang w:eastAsia="ru-RU"/>
        </w:rPr>
        <w:t xml:space="preserve"> </w:t>
      </w:r>
      <w:r>
        <w:rPr>
          <w:rFonts w:eastAsia="Times New Roman" w:cs="Times New Roman" w:ascii="Times New Roman" w:hAnsi="Times New Roman"/>
          <w:b/>
          <w:bCs/>
          <w:sz w:val="26"/>
          <w:szCs w:val="26"/>
          <w:lang w:eastAsia="ru-RU"/>
        </w:rPr>
        <w:t>Управління  Державної  казначейської служби України у Глибоцькому районі Чернівецької області</w:t>
      </w:r>
    </w:p>
    <w:p>
      <w:pPr>
        <w:pStyle w:val="Normal"/>
        <w:spacing w:lineRule="auto" w:line="240" w:before="0" w:after="0"/>
        <w:ind w:left="-1418"/>
        <w:jc w:val="center"/>
        <w:rPr>
          <w:b/>
          <w:bCs/>
          <w:sz w:val="26"/>
          <w:szCs w:val="26"/>
        </w:rPr>
      </w:pPr>
      <w:r>
        <w:rPr>
          <w:rFonts w:eastAsia="Times New Roman" w:cs="Times New Roman" w:ascii="Times New Roman" w:hAnsi="Times New Roman"/>
          <w:b/>
          <w:bCs/>
          <w:sz w:val="26"/>
          <w:szCs w:val="26"/>
          <w:lang w:eastAsia="ru-RU"/>
        </w:rPr>
        <w:t xml:space="preserve">              </w:t>
      </w:r>
      <w:r>
        <w:rPr>
          <w:rFonts w:eastAsia="Times New Roman" w:cs="Times New Roman" w:ascii="Times New Roman" w:hAnsi="Times New Roman"/>
          <w:b/>
          <w:bCs/>
          <w:sz w:val="26"/>
          <w:szCs w:val="26"/>
          <w:lang w:eastAsia="ru-RU"/>
        </w:rPr>
        <w:t>(УДКСУ у Глибоцькому районі Чернівецької області)</w:t>
      </w:r>
    </w:p>
    <w:p>
      <w:pPr>
        <w:pStyle w:val="Normal"/>
        <w:spacing w:lineRule="auto" w:line="240" w:before="0" w:after="0"/>
        <w:jc w:val="center"/>
        <w:rPr>
          <w:rFonts w:ascii="Times New Roman" w:hAnsi="Times New Roman" w:eastAsia="Times New Roman" w:cs="Times New Roman"/>
          <w:b/>
          <w:i/>
          <w:i/>
          <w:sz w:val="20"/>
          <w:szCs w:val="20"/>
        </w:rPr>
      </w:pPr>
      <w:r>
        <w:rPr>
          <w:rFonts w:eastAsia="Times New Roman" w:cs="Times New Roman" w:ascii="Times New Roman" w:hAnsi="Times New Roman"/>
          <w:b/>
          <w:i/>
          <w:sz w:val="20"/>
          <w:szCs w:val="20"/>
        </w:rPr>
      </w:r>
    </w:p>
    <w:p>
      <w:pPr>
        <w:pStyle w:val="Normal"/>
        <w:spacing w:lineRule="auto" w:line="240" w:before="280" w:after="0"/>
        <w:jc w:val="center"/>
        <w:rPr>
          <w:sz w:val="26"/>
          <w:szCs w:val="26"/>
        </w:rPr>
      </w:pPr>
      <w:r>
        <w:rPr>
          <w:rFonts w:eastAsia="Times New Roman" w:cs="Times New Roman" w:ascii="Times New Roman" w:hAnsi="Times New Roman"/>
          <w:b/>
          <w:sz w:val="26"/>
          <w:szCs w:val="26"/>
        </w:rPr>
        <w:t xml:space="preserve">ОБҐРУНТУВАННЯ </w:t>
      </w:r>
    </w:p>
    <w:p>
      <w:pPr>
        <w:pStyle w:val="Normal"/>
        <w:spacing w:lineRule="auto" w:line="240" w:before="0" w:after="280"/>
        <w:jc w:val="center"/>
        <w:rPr>
          <w:sz w:val="26"/>
          <w:szCs w:val="26"/>
        </w:rPr>
      </w:pPr>
      <w:r>
        <w:rPr>
          <w:rFonts w:eastAsia="Times New Roman" w:cs="Times New Roman" w:ascii="Times New Roman" w:hAnsi="Times New Roman"/>
          <w:sz w:val="26"/>
          <w:szCs w:val="26"/>
        </w:rPr>
        <w:t>технічних та якісних характеристик</w:t>
      </w:r>
      <w:r>
        <w:rPr>
          <w:rFonts w:eastAsia="Times New Roman" w:cs="Times New Roman" w:ascii="Times New Roman" w:hAnsi="Times New Roman"/>
          <w:b/>
          <w:bCs/>
          <w:sz w:val="26"/>
          <w:szCs w:val="26"/>
        </w:rPr>
        <w:t xml:space="preserve"> закупівлі електричної енергії</w:t>
      </w:r>
      <w:r>
        <w:rPr>
          <w:rFonts w:eastAsia="Times New Roman" w:cs="Times New Roman" w:ascii="Times New Roman" w:hAnsi="Times New Roman"/>
          <w:b/>
          <w:sz w:val="26"/>
          <w:szCs w:val="26"/>
        </w:rPr>
        <w:t xml:space="preserve"> з оплатою  за послугу з розподілу електричної енергії через постачальника, </w:t>
      </w:r>
      <w:r>
        <w:rPr>
          <w:rFonts w:eastAsia="Times New Roman" w:cs="Times New Roman" w:ascii="Times New Roman" w:hAnsi="Times New Roman"/>
          <w:sz w:val="26"/>
          <w:szCs w:val="26"/>
        </w:rPr>
        <w:t>розміру бюджетного призначення, очікуваної вартості предмета закупівлі</w:t>
      </w:r>
    </w:p>
    <w:p>
      <w:pPr>
        <w:pStyle w:val="Normal"/>
        <w:spacing w:lineRule="auto" w:line="240" w:before="280" w:after="280"/>
        <w:jc w:val="center"/>
        <w:rPr>
          <w:sz w:val="24"/>
          <w:szCs w:val="24"/>
        </w:rPr>
      </w:pPr>
      <w:r>
        <w:rPr>
          <w:rFonts w:eastAsia="Times New Roman" w:cs="Times New Roman" w:ascii="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pPr>
        <w:pStyle w:val="Normal"/>
        <w:tabs>
          <w:tab w:val="clear" w:pos="708"/>
          <w:tab w:val="left" w:pos="851" w:leader="none"/>
        </w:tabs>
        <w:spacing w:lineRule="auto" w:line="240" w:before="0" w:after="120"/>
        <w:ind w:firstLine="142" w:left="-142"/>
        <w:jc w:val="both"/>
        <w:rPr>
          <w:sz w:val="26"/>
          <w:szCs w:val="26"/>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eastAsia="Times New Roman" w:ascii="Times New Roman" w:hAnsi="Times New Roman"/>
          <w:sz w:val="24"/>
          <w:szCs w:val="24"/>
          <w:lang w:eastAsia="ru-RU"/>
        </w:rPr>
        <w:t>Управління Державної казначейської служби України у Глибоцькому районі Чернівецької області;  вул. 10-ї річниці Незалежності України, 7А, смт.Глибока, Чернівецька обл., 60400; код за ЄДРПОУ –36751529; категорія замовника – орган державної влади.</w:t>
      </w:r>
    </w:p>
    <w:p>
      <w:pPr>
        <w:pStyle w:val="Normal"/>
        <w:tabs>
          <w:tab w:val="clear" w:pos="708"/>
          <w:tab w:val="left" w:pos="851" w:leader="none"/>
        </w:tabs>
        <w:spacing w:lineRule="auto" w:line="240" w:before="0" w:after="120"/>
        <w:ind w:firstLine="142" w:left="-142"/>
        <w:jc w:val="both"/>
        <w:rPr/>
      </w:pPr>
      <w:r>
        <w:rPr>
          <w:rFonts w:ascii="Times New Roman" w:hAnsi="Times New Roman"/>
          <w:b/>
          <w:bCs/>
          <w:sz w:val="24"/>
          <w:szCs w:val="24"/>
        </w:rPr>
        <w:t xml:space="preserve">   </w:t>
      </w:r>
      <w:r>
        <w:rPr>
          <w:rFonts w:ascii="Times New Roman" w:hAnsi="Times New Roman"/>
          <w:b/>
          <w:bCs/>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hAnsi="Times New Roman"/>
          <w:sz w:val="24"/>
          <w:szCs w:val="24"/>
        </w:rPr>
        <w:t xml:space="preserve"> </w:t>
      </w:r>
      <w:r>
        <w:rPr>
          <w:rFonts w:ascii="Times New Roman" w:hAnsi="Times New Roman"/>
          <w:iCs/>
          <w:spacing w:val="4"/>
          <w:sz w:val="24"/>
        </w:rPr>
        <w:t>Електрична енергія (Електрична енергія з оплатою за послугу з розподілу електричної енергії через постачальника ) код ДК 021:2015 - 09310000-5 - Електрична енергія</w:t>
      </w:r>
      <w:r>
        <w:rPr>
          <w:rStyle w:val="Style15"/>
          <w:rFonts w:ascii="Times New Roman" w:hAnsi="Times New Roman"/>
          <w:b w:val="false"/>
          <w:bCs w:val="false"/>
          <w:color w:val="000000"/>
          <w:sz w:val="24"/>
          <w:szCs w:val="24"/>
        </w:rPr>
        <w:t>.</w:t>
      </w:r>
      <w:r>
        <w:rPr>
          <w:rFonts w:ascii="Times New Roman" w:hAnsi="Times New Roman"/>
          <w:color w:val="000000"/>
          <w:sz w:val="24"/>
          <w:szCs w:val="24"/>
        </w:rPr>
        <w:t xml:space="preserve"> </w:t>
      </w:r>
    </w:p>
    <w:p>
      <w:pPr>
        <w:pStyle w:val="Normal"/>
        <w:tabs>
          <w:tab w:val="clear" w:pos="708"/>
          <w:tab w:val="left" w:pos="851" w:leader="none"/>
        </w:tabs>
        <w:spacing w:lineRule="auto" w:line="240" w:before="0" w:after="120"/>
        <w:jc w:val="both"/>
        <w:rPr>
          <w:rFonts w:ascii="Times New Roman" w:hAnsi="Times New Roman" w:cs="Times New Roman"/>
          <w:color w:val="auto"/>
          <w:sz w:val="24"/>
          <w:szCs w:val="24"/>
          <w:shd w:fill="F0F5F2" w:val="clear"/>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val="ru-RU" w:eastAsia="ru-RU"/>
        </w:rPr>
        <w:t>І</w:t>
      </w:r>
      <w:r>
        <w:rPr>
          <w:rFonts w:eastAsia="Times New Roman" w:ascii="Times New Roman" w:hAnsi="Times New Roman"/>
          <w:b/>
          <w:sz w:val="24"/>
          <w:szCs w:val="24"/>
          <w:lang w:eastAsia="ru-RU"/>
        </w:rPr>
        <w:t xml:space="preserve">дентифікатор закупівлі: </w:t>
      </w:r>
      <w:r>
        <w:rPr>
          <w:rFonts w:eastAsia="Times New Roman" w:ascii="Times New Roman" w:hAnsi="Times New Roman"/>
          <w:sz w:val="24"/>
          <w:szCs w:val="24"/>
          <w:lang w:eastAsia="ru-RU"/>
        </w:rPr>
        <w:t xml:space="preserve">Відкриті торги з особливостями,  </w:t>
      </w:r>
      <w:r>
        <w:rPr>
          <w:rFonts w:eastAsia="Times New Roman" w:ascii="Times New Roman" w:hAnsi="Times New Roman"/>
          <w:b/>
          <w:bCs/>
          <w:color w:val="000000"/>
          <w:sz w:val="24"/>
          <w:szCs w:val="24"/>
          <w:lang w:eastAsia="ru-RU"/>
        </w:rPr>
        <w:t xml:space="preserve"> </w:t>
      </w:r>
      <w:r>
        <w:rPr>
          <w:rFonts w:cs="Times New Roman" w:ascii="Times New Roman" w:hAnsi="Times New Roman"/>
          <w:color w:val="000000"/>
          <w:sz w:val="24"/>
          <w:szCs w:val="24"/>
          <w:shd w:fill="F0F5F2" w:val="clear"/>
        </w:rPr>
        <w:t>UA-2024-11-07-011816-a </w:t>
      </w:r>
    </w:p>
    <w:p>
      <w:pPr>
        <w:pStyle w:val="Normal"/>
        <w:tabs>
          <w:tab w:val="clear" w:pos="708"/>
          <w:tab w:val="left" w:pos="851" w:leader="none"/>
        </w:tabs>
        <w:spacing w:lineRule="auto" w:line="240" w:before="0" w:after="120"/>
        <w:ind w:firstLine="142" w:left="-142"/>
        <w:jc w:val="both"/>
        <w:rPr>
          <w:rFonts w:ascii="Times New Roman" w:hAnsi="Times New Roman"/>
          <w:iCs/>
          <w:sz w:val="24"/>
          <w:szCs w:val="24"/>
        </w:rPr>
      </w:pPr>
      <w:r>
        <w:rPr>
          <w:rFonts w:ascii="Times New Roman" w:hAnsi="Times New Roman"/>
          <w:b/>
          <w:bCs/>
          <w:sz w:val="24"/>
          <w:szCs w:val="24"/>
        </w:rPr>
        <w:t xml:space="preserve">   </w:t>
      </w:r>
      <w:r>
        <w:rPr>
          <w:rFonts w:ascii="Times New Roman" w:hAnsi="Times New Roman"/>
          <w:b/>
          <w:bCs/>
          <w:sz w:val="24"/>
          <w:szCs w:val="24"/>
        </w:rPr>
        <w:t xml:space="preserve">Обгрунтування розміру бюджетного призначення </w:t>
      </w:r>
      <w:r>
        <w:rPr/>
        <w:t>:</w:t>
      </w:r>
      <w:r>
        <w:rPr>
          <w:rFonts w:ascii="Times New Roman" w:hAnsi="Times New Roman"/>
          <w:sz w:val="24"/>
          <w:szCs w:val="24"/>
          <w:shd w:fill="FFFFFF" w:val="clear"/>
        </w:rPr>
        <w:t xml:space="preserve"> </w:t>
      </w:r>
      <w:r>
        <w:rPr>
          <w:rFonts w:eastAsia="Calibri" w:cs="Times New Roman" w:ascii="Times New Roman" w:hAnsi="Times New Roman"/>
          <w:iCs/>
          <w:sz w:val="24"/>
          <w:szCs w:val="24"/>
        </w:rPr>
        <w:t xml:space="preserve">видатки на закупівлю вищезазначеного предмета закупівлі </w:t>
      </w:r>
      <w:r>
        <w:rPr>
          <w:rFonts w:ascii="Times New Roman" w:hAnsi="Times New Roman"/>
          <w:iCs/>
          <w:sz w:val="24"/>
          <w:szCs w:val="24"/>
        </w:rPr>
        <w:t xml:space="preserve">визначені </w:t>
      </w:r>
      <w:r>
        <w:rPr>
          <w:rFonts w:cs="Times New Roman" w:ascii="Times New Roman" w:hAnsi="Times New Roman"/>
        </w:rPr>
        <w:t xml:space="preserve">довідками </w:t>
      </w:r>
      <w:r>
        <w:rPr>
          <w:rFonts w:eastAsia="Calibri" w:cs="Times New Roman" w:ascii="Times New Roman" w:hAnsi="Times New Roman"/>
          <w:iCs/>
          <w:sz w:val="24"/>
          <w:szCs w:val="24"/>
        </w:rPr>
        <w:t>про зміни до кошторису</w:t>
      </w:r>
      <w:r>
        <w:rPr>
          <w:rFonts w:cs="Times New Roman" w:ascii="Times New Roman" w:hAnsi="Times New Roman"/>
          <w:iCs/>
          <w:sz w:val="24"/>
          <w:szCs w:val="24"/>
        </w:rPr>
        <w:t xml:space="preserve"> від 26.09.2024 року № 5 та від 25.10.2024 року № 6,  та наявністю  </w:t>
      </w:r>
      <w:r>
        <w:rPr>
          <w:rFonts w:ascii="Times New Roman" w:hAnsi="Times New Roman"/>
          <w:iCs/>
          <w:sz w:val="24"/>
          <w:szCs w:val="24"/>
        </w:rPr>
        <w:t>зекономлених коштів внаслідок помісячного коливання ціни на електричну енергію.</w:t>
      </w:r>
    </w:p>
    <w:p>
      <w:pPr>
        <w:pStyle w:val="Normal"/>
        <w:tabs>
          <w:tab w:val="clear" w:pos="708"/>
          <w:tab w:val="left" w:pos="851" w:leader="none"/>
        </w:tabs>
        <w:spacing w:lineRule="auto" w:line="240" w:before="0" w:after="0"/>
        <w:ind w:firstLine="142" w:left="-142"/>
        <w:jc w:val="both"/>
        <w:rPr/>
      </w:pPr>
      <w:r>
        <w:rPr>
          <w:rFonts w:ascii="Times New Roman" w:hAnsi="Times New Roman"/>
          <w:b/>
        </w:rPr>
        <w:t xml:space="preserve">    </w:t>
      </w:r>
      <w:r>
        <w:rPr>
          <w:rFonts w:ascii="Times New Roman" w:hAnsi="Times New Roman"/>
          <w:b/>
        </w:rPr>
        <w:t>Очікувана вартість та о</w:t>
      </w:r>
      <w:r>
        <w:rPr>
          <w:rFonts w:eastAsia="Times New Roman" w:ascii="Times New Roman" w:hAnsi="Times New Roman"/>
          <w:b/>
          <w:sz w:val="24"/>
          <w:szCs w:val="24"/>
          <w:lang w:eastAsia="ru-RU"/>
        </w:rPr>
        <w:t>бґрунтування очікуваної вартості предм</w:t>
      </w:r>
      <w:r>
        <w:rPr>
          <w:rFonts w:eastAsia="Times New Roman" w:ascii="Times New Roman" w:hAnsi="Times New Roman"/>
          <w:b/>
          <w:color w:val="000000"/>
          <w:sz w:val="24"/>
          <w:szCs w:val="24"/>
          <w:lang w:eastAsia="ru-RU"/>
        </w:rPr>
        <w:t xml:space="preserve">ета закупівлі: </w:t>
      </w:r>
      <w:r>
        <w:rPr>
          <w:rFonts w:eastAsia="Times New Roman" w:ascii="Times New Roman" w:hAnsi="Times New Roman"/>
          <w:bCs/>
          <w:sz w:val="24"/>
          <w:szCs w:val="24"/>
          <w:lang w:eastAsia="ru-RU"/>
        </w:rPr>
        <w:t xml:space="preserve">         Очікувана вартість предмета закупівлі:</w:t>
      </w:r>
      <w:r>
        <w:rPr>
          <w:rFonts w:eastAsia="Times New Roman" w:ascii="Times New Roman" w:hAnsi="Times New Roman"/>
          <w:bCs/>
          <w:color w:val="000000"/>
          <w:lang w:eastAsia="ru-RU"/>
        </w:rPr>
        <w:t xml:space="preserve"> </w:t>
      </w:r>
      <w:r>
        <w:rPr>
          <w:rFonts w:eastAsia="Times New Roman" w:ascii="OpenSans-Regular;Arial;sans-ser" w:hAnsi="OpenSans-Regular;Arial;sans-ser"/>
          <w:bCs/>
          <w:color w:val="000000"/>
          <w:lang w:eastAsia="ru-RU"/>
        </w:rPr>
        <w:t>98392,00</w:t>
      </w:r>
      <w:r>
        <w:rPr>
          <w:rFonts w:eastAsia="Times New Roman" w:ascii="Times New Roman" w:hAnsi="Times New Roman"/>
          <w:bCs/>
          <w:color w:val="000000"/>
          <w:lang w:eastAsia="ru-RU"/>
        </w:rPr>
        <w:t xml:space="preserve"> грн з ПДВ. </w:t>
      </w:r>
    </w:p>
    <w:p>
      <w:pPr>
        <w:pStyle w:val="ListParagraph"/>
        <w:tabs>
          <w:tab w:val="clear" w:pos="708"/>
          <w:tab w:val="left" w:pos="284" w:leader="none"/>
        </w:tabs>
        <w:spacing w:lineRule="auto" w:line="240" w:before="0" w:after="0"/>
        <w:ind w:firstLine="284" w:left="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Визначення очікуваної вартості предмета закупівлі обумовлено аналізом споживання (річного та місячного) електричної енергії за 2023 календарний рік (бюджетний період). Замовником здійснено розрахунок очікуваної вартості методом аналізу ринку електричної енергії на сайті Оператора ринку </w:t>
      </w:r>
      <w:hyperlink r:id="rId2">
        <w:r>
          <w:rPr>
            <w:rStyle w:val="Hyperlink"/>
            <w:rFonts w:eastAsia="Times New Roman" w:ascii="Times New Roman" w:hAnsi="Times New Roman"/>
            <w:sz w:val="24"/>
            <w:szCs w:val="24"/>
            <w:lang w:eastAsia="ru-RU"/>
          </w:rPr>
          <w:t>https://www.oree.com.ua/</w:t>
        </w:r>
      </w:hyperlink>
      <w:r>
        <w:rPr>
          <w:rFonts w:eastAsia="Times New Roman" w:ascii="Times New Roman" w:hAnsi="Times New Roman"/>
          <w:sz w:val="24"/>
          <w:szCs w:val="24"/>
          <w:lang w:eastAsia="ru-RU"/>
        </w:rPr>
        <w:t xml:space="preserve"> та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pPr>
        <w:pStyle w:val="Normal"/>
        <w:tabs>
          <w:tab w:val="clear" w:pos="708"/>
          <w:tab w:val="left" w:pos="1276" w:leader="none"/>
        </w:tabs>
        <w:spacing w:lineRule="auto" w:line="240" w:before="0" w:after="0"/>
        <w:ind w:firstLine="567"/>
        <w:jc w:val="both"/>
        <w:rPr>
          <w:rFonts w:ascii="Times New Roman" w:hAnsi="Times New Roman" w:eastAsia="Times New Roman" w:cs="Times New Roman"/>
          <w:sz w:val="24"/>
          <w:szCs w:val="24"/>
        </w:rPr>
      </w:pPr>
      <w:r>
        <w:rPr>
          <w:rFonts w:eastAsia="Times New Roman" w:ascii="Times New Roman" w:hAnsi="Times New Roman"/>
          <w:sz w:val="24"/>
          <w:szCs w:val="24"/>
          <w:lang w:eastAsia="ru-RU"/>
        </w:rPr>
        <w:t xml:space="preserve">При цьому  розрахунок  очікуваної вартості проводився також  згідно з аналізом цін електропостачальників на електричну енергію </w:t>
      </w:r>
      <w:r>
        <w:rPr>
          <w:rFonts w:ascii="Times New Roman" w:hAnsi="Times New Roman"/>
          <w:iCs/>
          <w:spacing w:val="4"/>
          <w:sz w:val="24"/>
        </w:rPr>
        <w:t>з оплатою за послугу з розподілу електричної енергії через постачальника на дату формування очікуваної вартості предмета закупівлі. До ціни</w:t>
      </w:r>
      <w:r>
        <w:rPr>
          <w:rFonts w:eastAsia="Times New Roman" w:cs="Times New Roman" w:ascii="Times New Roman" w:hAnsi="Times New Roman"/>
          <w:sz w:val="24"/>
          <w:szCs w:val="24"/>
        </w:rPr>
        <w:t xml:space="preserve"> електричної енергії  включена вартість  електричної енергії,  закуповуваної електропостачальником на оптовому ринку електричної енергії «на добу наперед», послуги з передачі електричної енергії за регульованим тарифом, послуги з розподілу електричної енергії за регульованим тарифом та всі визначені законодавством податки та збори.</w:t>
      </w:r>
    </w:p>
    <w:p>
      <w:pPr>
        <w:pStyle w:val="Normal"/>
        <w:tabs>
          <w:tab w:val="clear" w:pos="708"/>
          <w:tab w:val="left" w:pos="1276" w:leader="none"/>
        </w:tabs>
        <w:spacing w:lineRule="auto" w:line="240" w:before="0" w:after="0"/>
        <w:ind w:firstLine="567"/>
        <w:jc w:val="both"/>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tabs>
          <w:tab w:val="clear" w:pos="708"/>
          <w:tab w:val="left" w:pos="142" w:leader="none"/>
        </w:tabs>
        <w:spacing w:lineRule="auto" w:line="240" w:before="0" w:after="0"/>
        <w:ind w:firstLine="142"/>
        <w:jc w:val="both"/>
        <w:rPr>
          <w:rFonts w:ascii="Times New Roman" w:hAnsi="Times New Roman" w:cs="Times New Roman"/>
          <w:b/>
          <w:sz w:val="24"/>
          <w:szCs w:val="24"/>
        </w:rPr>
      </w:pPr>
      <w:r>
        <w:rPr>
          <w:rFonts w:cs="Times New Roman" w:ascii="Times New Roman" w:hAnsi="Times New Roman"/>
          <w:b/>
          <w:sz w:val="24"/>
          <w:szCs w:val="24"/>
        </w:rPr>
        <w:t xml:space="preserve">Нормативно-правове регулювання. </w:t>
      </w:r>
      <w:r>
        <w:rPr>
          <w:rFonts w:cs="Times New Roman" w:ascii="Times New Roman" w:hAnsi="Times New Roman"/>
          <w:sz w:val="24"/>
          <w:szCs w:val="24"/>
        </w:rPr>
        <w:t>Закупівля електричної енергії, технічні та якісні характеристики предмета закупівлі регулюються та встановлюються</w:t>
      </w:r>
      <w:r>
        <w:rPr>
          <w:rFonts w:cs="Times New Roman" w:ascii="Times New Roman" w:hAnsi="Times New Roman"/>
          <w:b/>
          <w:sz w:val="24"/>
          <w:szCs w:val="24"/>
        </w:rPr>
        <w:t xml:space="preserve"> :</w:t>
      </w:r>
    </w:p>
    <w:p>
      <w:pPr>
        <w:pStyle w:val="Normal"/>
        <w:tabs>
          <w:tab w:val="clear" w:pos="708"/>
          <w:tab w:val="left" w:pos="993" w:leader="none"/>
          <w:tab w:val="left" w:pos="1560" w:leader="none"/>
        </w:tabs>
        <w:spacing w:lineRule="auto" w:line="240" w:before="0" w:after="0"/>
        <w:ind w:left="360" w:right="-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Законом України «Про ринок електричної енергії» від 13.04.2017 № 2019-VIII (далі- Закон);</w:t>
      </w:r>
    </w:p>
    <w:p>
      <w:pPr>
        <w:pStyle w:val="Normal"/>
        <w:tabs>
          <w:tab w:val="clear" w:pos="708"/>
          <w:tab w:val="left" w:pos="993" w:leader="none"/>
          <w:tab w:val="left" w:pos="1560" w:leader="none"/>
        </w:tabs>
        <w:spacing w:lineRule="auto" w:line="240" w:before="0" w:after="0"/>
        <w:ind w:left="360" w:right="-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Законом України «Про публічні закупівлі» від 25.12.2015 №922-VIII ( далі –Закон про закупівлі);</w:t>
      </w:r>
    </w:p>
    <w:p>
      <w:pPr>
        <w:pStyle w:val="Normal"/>
        <w:tabs>
          <w:tab w:val="clear" w:pos="708"/>
          <w:tab w:val="left" w:pos="993" w:leader="none"/>
          <w:tab w:val="left" w:pos="1560" w:leader="none"/>
        </w:tabs>
        <w:spacing w:lineRule="auto" w:line="240" w:before="0" w:after="0"/>
        <w:ind w:left="426" w:right="-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pPr>
        <w:pStyle w:val="Normal"/>
        <w:tabs>
          <w:tab w:val="clear" w:pos="708"/>
          <w:tab w:val="left" w:pos="993" w:leader="none"/>
          <w:tab w:val="left" w:pos="1560" w:leader="none"/>
        </w:tabs>
        <w:spacing w:lineRule="auto" w:line="240" w:before="0" w:after="0"/>
        <w:ind w:left="426" w:right="-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pPr>
        <w:pStyle w:val="Normal"/>
        <w:tabs>
          <w:tab w:val="clear" w:pos="708"/>
          <w:tab w:val="left" w:pos="993" w:leader="none"/>
          <w:tab w:val="left" w:pos="1560" w:leader="none"/>
        </w:tabs>
        <w:spacing w:lineRule="auto" w:line="240" w:before="0" w:after="0"/>
        <w:ind w:left="426" w:right="-2"/>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Правилами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pPr>
        <w:pStyle w:val="Normal"/>
        <w:tabs>
          <w:tab w:val="clear" w:pos="708"/>
          <w:tab w:val="left" w:pos="284" w:leader="none"/>
          <w:tab w:val="left" w:pos="993" w:leader="none"/>
          <w:tab w:val="left" w:pos="1560" w:leader="none"/>
        </w:tabs>
        <w:spacing w:lineRule="auto" w:line="240" w:before="0" w:after="0"/>
        <w:ind w:left="42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іншими нормативно-правовими актами, прийнятими на виконання Закону України «Про ринок електричної енергії» від 13.04.2017 № 2019-VIII;</w:t>
      </w:r>
    </w:p>
    <w:p>
      <w:pPr>
        <w:pStyle w:val="Normal"/>
        <w:tabs>
          <w:tab w:val="clear" w:pos="708"/>
          <w:tab w:val="left" w:pos="284" w:leader="none"/>
          <w:tab w:val="left" w:pos="993" w:leader="none"/>
          <w:tab w:val="left" w:pos="1560"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іншими нормативно-правовими актами, що стосуються предмета закупівлі.    </w:t>
      </w:r>
    </w:p>
    <w:p>
      <w:pPr>
        <w:pStyle w:val="Normal"/>
        <w:tabs>
          <w:tab w:val="clear" w:pos="708"/>
          <w:tab w:val="left" w:pos="284" w:leader="none"/>
          <w:tab w:val="left" w:pos="993" w:leader="none"/>
          <w:tab w:val="left" w:pos="1560"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 xml:space="preserve">Загальні положення. </w:t>
      </w:r>
      <w:r>
        <w:rPr>
          <w:rFonts w:cs="Times New Roman" w:ascii="Times New Roman" w:hAnsi="Times New Roman"/>
          <w:sz w:val="24"/>
          <w:szCs w:val="24"/>
        </w:rPr>
        <w:t>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 за договором постачання електричної енергії споживачу.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r>
        <w:rPr>
          <w:rFonts w:cs="Times New Roman" w:ascii="Times New Roman" w:hAnsi="Times New Roman"/>
          <w:sz w:val="24"/>
          <w:szCs w:val="24"/>
          <w:u w:val="single"/>
        </w:rPr>
        <w:t>Електрична енергія/Ліцензування/Реєстри ліцензіатів (</w:t>
      </w:r>
      <w:r>
        <w:rPr>
          <w:rFonts w:cs="Times New Roman" w:ascii="Times New Roman" w:hAnsi="Times New Roman"/>
          <w:sz w:val="24"/>
          <w:szCs w:val="24"/>
        </w:rPr>
        <w:t>вид діяльності – постачання електричнох енергії).</w:t>
      </w:r>
    </w:p>
    <w:p>
      <w:pPr>
        <w:pStyle w:val="ListParagraph"/>
        <w:tabs>
          <w:tab w:val="clear" w:pos="708"/>
          <w:tab w:val="left" w:pos="851" w:leader="none"/>
        </w:tabs>
        <w:spacing w:lineRule="auto" w:line="240" w:before="0" w:after="0"/>
        <w:ind w:firstLine="567" w:left="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Електропостачальник повинен забезпечити поставку електричної енергії на об»єкт замовника УДКСУ у Глибоцькому районі Чернівецької області, який знаходиться  за адресою  вул. 10-ї річниці Незалежності України, 7А, смт.Глибока, Чернівецька обл., 60400.</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8"/>
          <w:tab w:val="left" w:pos="851" w:leader="none"/>
        </w:tabs>
        <w:spacing w:lineRule="auto" w:line="240" w:before="0" w:after="0"/>
        <w:ind w:firstLine="567" w:left="0"/>
        <w:contextualSpacing/>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 xml:space="preserve">Обґрунтування технічних характеристик. </w:t>
      </w:r>
      <w:r>
        <w:rPr>
          <w:rFonts w:eastAsia="Times New Roman" w:ascii="Times New Roman" w:hAnsi="Times New Roman"/>
          <w:sz w:val="24"/>
          <w:szCs w:val="24"/>
          <w:lang w:eastAsia="ru-RU"/>
        </w:rPr>
        <w:t>Термін постачання – до 31.12.2024 року (включно).</w:t>
      </w:r>
    </w:p>
    <w:p>
      <w:pPr>
        <w:pStyle w:val="ListParagraph"/>
        <w:tabs>
          <w:tab w:val="clear" w:pos="708"/>
          <w:tab w:val="left" w:pos="851" w:leader="none"/>
        </w:tabs>
        <w:spacing w:lineRule="auto" w:line="240" w:before="0" w:after="0"/>
        <w:ind w:firstLine="567" w:left="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 необхідний для  забезпечення діяльності та власних потреб об’єктів замовника, враховуючи обсяги споживання попереднього календарного року, та враховуючи бюджетні призначення зі змінами  , становить </w:t>
      </w:r>
      <w:r>
        <w:rPr>
          <w:rFonts w:eastAsia="Times New Roman" w:ascii="Times New Roman" w:hAnsi="Times New Roman"/>
          <w:b/>
          <w:sz w:val="24"/>
          <w:szCs w:val="24"/>
          <w:lang w:eastAsia="ru-RU"/>
        </w:rPr>
        <w:t xml:space="preserve">8500 кВт/год </w:t>
      </w:r>
      <w:r>
        <w:rPr>
          <w:rFonts w:eastAsia="Times New Roman" w:ascii="Times New Roman" w:hAnsi="Times New Roman"/>
          <w:sz w:val="24"/>
          <w:szCs w:val="24"/>
          <w:lang w:eastAsia="ru-RU"/>
        </w:rPr>
        <w:t>на 2024 рік.</w:t>
      </w:r>
    </w:p>
    <w:p>
      <w:pPr>
        <w:pStyle w:val="ListParagraph"/>
        <w:tabs>
          <w:tab w:val="clear" w:pos="708"/>
          <w:tab w:val="left" w:pos="851" w:leader="none"/>
        </w:tabs>
        <w:spacing w:lineRule="auto" w:line="240" w:before="0" w:after="0"/>
        <w:ind w:firstLine="567" w:left="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08"/>
          <w:tab w:val="left" w:pos="596" w:leader="none"/>
        </w:tabs>
        <w:spacing w:before="0" w:after="0"/>
        <w:ind w:firstLine="567"/>
        <w:jc w:val="both"/>
        <w:rPr>
          <w:rFonts w:ascii="Times New Roman" w:hAnsi="Times New Roman" w:cs="Times New Roman"/>
          <w:sz w:val="24"/>
          <w:szCs w:val="24"/>
        </w:rPr>
      </w:pPr>
      <w:r>
        <w:rPr>
          <w:rFonts w:eastAsia="Times New Roman" w:ascii="Times New Roman" w:hAnsi="Times New Roman"/>
          <w:b/>
          <w:sz w:val="24"/>
          <w:szCs w:val="24"/>
          <w:lang w:eastAsia="ru-RU"/>
        </w:rPr>
        <w:t xml:space="preserve">Обґрунтування якісних характеристик. </w:t>
      </w:r>
      <w:r>
        <w:rPr>
          <w:rFonts w:cs="Times New Roman" w:ascii="Times New Roman" w:hAnsi="Times New Roman"/>
          <w:sz w:val="24"/>
          <w:szCs w:val="24"/>
        </w:rPr>
        <w:t>Якість електричної енергії, повинна відповідати нормам чинного законодавства України. Законом України «Про ринок електричної енергії» встановлено, що регулятор (Національна комісія, що здійснює державне регулювання у сферах енергетики та комунальних послуг) визначає перелік показників якості електропостачання,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та затверджує їх величини.</w:t>
      </w:r>
    </w:p>
    <w:p>
      <w:pPr>
        <w:pStyle w:val="Normal"/>
        <w:tabs>
          <w:tab w:val="clear" w:pos="708"/>
          <w:tab w:val="left" w:pos="596" w:leader="none"/>
        </w:tabs>
        <w:spacing w:before="0" w:after="0"/>
        <w:ind w:firstLine="567"/>
        <w:jc w:val="both"/>
        <w:rPr>
          <w:rFonts w:ascii="Times New Roman" w:hAnsi="Times New Roman" w:cs="Times New Roman"/>
          <w:sz w:val="24"/>
          <w:szCs w:val="24"/>
        </w:rPr>
      </w:pPr>
      <w:r>
        <w:rPr>
          <w:rFonts w:cs="Times New Roman" w:ascii="Times New Roman" w:hAnsi="Times New Roman"/>
          <w:sz w:val="24"/>
          <w:szCs w:val="24"/>
        </w:rPr>
        <w:tab/>
        <w:t>Постановою «Про затвердження Кодексу систем розподілу» № 310 від 14.03.2018  визначено, що Оператор системи передачі та оператори систем розподілу забезпечують якість електричної енергії відповідно до укладених договорів.</w:t>
      </w:r>
    </w:p>
    <w:p>
      <w:pPr>
        <w:pStyle w:val="Normal"/>
        <w:tabs>
          <w:tab w:val="clear" w:pos="708"/>
          <w:tab w:val="left" w:pos="596" w:leader="none"/>
        </w:tabs>
        <w:spacing w:before="0" w:after="0"/>
        <w:ind w:firstLine="567"/>
        <w:jc w:val="both"/>
        <w:rPr>
          <w:rFonts w:ascii="Times New Roman" w:hAnsi="Times New Roman" w:cs="Times New Roman"/>
          <w:sz w:val="24"/>
          <w:szCs w:val="24"/>
        </w:rPr>
      </w:pPr>
      <w:r>
        <w:rPr>
          <w:rFonts w:cs="Times New Roman" w:ascii="Times New Roman" w:hAnsi="Times New Roman"/>
          <w:sz w:val="24"/>
          <w:szCs w:val="24"/>
        </w:rPr>
        <w:tab/>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p>
    <w:p>
      <w:pPr>
        <w:pStyle w:val="Normal"/>
        <w:widowControl w:val="false"/>
        <w:tabs>
          <w:tab w:val="clear" w:pos="708"/>
          <w:tab w:val="left" w:pos="596"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(далі — ДСТУ EN 50160:2014).</w:t>
      </w:r>
    </w:p>
    <w:p>
      <w:pPr>
        <w:pStyle w:val="ListParagraph"/>
        <w:tabs>
          <w:tab w:val="clear" w:pos="708"/>
          <w:tab w:val="left" w:pos="851" w:leader="none"/>
        </w:tabs>
        <w:spacing w:lineRule="auto" w:line="240" w:before="0" w:after="0"/>
        <w:ind w:firstLine="567" w:left="0"/>
        <w:contextualSpacing/>
        <w:jc w:val="both"/>
        <w:rPr>
          <w:rFonts w:ascii="Times New Roman" w:hAnsi="Times New Roman" w:eastAsia="Times New Roman"/>
          <w:color w:val="1D1D1B"/>
          <w:sz w:val="24"/>
          <w:szCs w:val="24"/>
        </w:rPr>
      </w:pPr>
      <w:r>
        <w:rPr>
          <w:rFonts w:eastAsia="Times New Roman" w:ascii="Times New Roman" w:hAnsi="Times New Roman"/>
          <w:color w:val="1D1D1B"/>
          <w:sz w:val="24"/>
          <w:szCs w:val="24"/>
        </w:rPr>
        <w:t>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дотримуватись передбачених чинним законодавством вимог щодо застосування заходів із захисту довкілля.</w:t>
      </w:r>
    </w:p>
    <w:sectPr>
      <w:type w:val="nextPage"/>
      <w:pgSz w:w="11906" w:h="16838"/>
      <w:pgMar w:left="1417" w:right="850" w:gutter="0" w:header="0" w:top="567"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OpenSans-Regular">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5e3f"/>
    <w:pPr>
      <w:widowControl/>
      <w:bidi w:val="0"/>
      <w:spacing w:lineRule="auto" w:line="276" w:before="0" w:after="200"/>
      <w:jc w:val="left"/>
    </w:pPr>
    <w:rPr>
      <w:rFonts w:ascii="Calibri" w:hAnsi="Calibri" w:eastAsia="Calibri" w:cs=""/>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Абзац списка Знак"/>
    <w:uiPriority w:val="34"/>
    <w:qFormat/>
    <w:locked/>
    <w:rsid w:val="000b1f80"/>
    <w:rPr>
      <w:rFonts w:ascii="Calibri" w:hAnsi="Calibri" w:eastAsia="Calibri" w:cs="Times New Roman"/>
    </w:rPr>
  </w:style>
  <w:style w:type="character" w:styleId="Style15" w:customStyle="1">
    <w:name w:val="Выделение жирным"/>
    <w:qFormat/>
    <w:rsid w:val="00491551"/>
    <w:rPr>
      <w:b/>
      <w:bCs/>
    </w:rPr>
  </w:style>
  <w:style w:type="character" w:styleId="Hyperlink">
    <w:name w:val="Hyperlink"/>
    <w:basedOn w:val="DefaultParagraphFont"/>
    <w:uiPriority w:val="99"/>
    <w:unhideWhenUsed/>
    <w:rsid w:val="00141dbb"/>
    <w:rPr>
      <w:color w:themeColor="hyperlink" w:val="0000FF"/>
      <w:u w:val="single"/>
    </w:rPr>
  </w:style>
  <w:style w:type="character" w:styleId="Green" w:customStyle="1">
    <w:name w:val="green"/>
    <w:basedOn w:val="DefaultParagraphFont"/>
    <w:qFormat/>
    <w:rsid w:val="005f2ecf"/>
    <w:rPr/>
  </w:style>
  <w:style w:type="paragraph" w:styleId="Style16" w:customStyle="1">
    <w:name w:val="Заголовок"/>
    <w:basedOn w:val="Normal"/>
    <w:next w:val="BodyText"/>
    <w:qFormat/>
    <w:rsid w:val="00491551"/>
    <w:pPr>
      <w:keepNext w:val="true"/>
      <w:spacing w:before="240" w:after="120"/>
    </w:pPr>
    <w:rPr>
      <w:rFonts w:ascii="Liberation Sans" w:hAnsi="Liberation Sans" w:eastAsia="Microsoft YaHei" w:cs="Arial"/>
      <w:sz w:val="28"/>
      <w:szCs w:val="28"/>
    </w:rPr>
  </w:style>
  <w:style w:type="paragraph" w:styleId="BodyText">
    <w:name w:val="Body Text"/>
    <w:basedOn w:val="Normal"/>
    <w:rsid w:val="00491551"/>
    <w:pPr>
      <w:spacing w:lineRule="auto" w:line="288" w:before="0" w:after="140"/>
    </w:pPr>
    <w:rPr/>
  </w:style>
  <w:style w:type="paragraph" w:styleId="List">
    <w:name w:val="List"/>
    <w:basedOn w:val="BodyText"/>
    <w:rsid w:val="00491551"/>
    <w:pPr/>
    <w:rPr>
      <w:rFonts w:cs="Arial"/>
    </w:rPr>
  </w:style>
  <w:style w:type="paragraph" w:styleId="Caption" w:customStyle="1">
    <w:name w:val="Caption"/>
    <w:basedOn w:val="Normal"/>
    <w:qFormat/>
    <w:rsid w:val="00491551"/>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Indexheading">
    <w:name w:val="index heading"/>
    <w:basedOn w:val="Normal"/>
    <w:qFormat/>
    <w:rsid w:val="00491551"/>
    <w:pPr>
      <w:suppressLineNumbers/>
    </w:pPr>
    <w:rPr>
      <w:rFonts w:cs="Arial"/>
    </w:rPr>
  </w:style>
  <w:style w:type="paragraph" w:styleId="ListParagraph">
    <w:name w:val="List Paragraph"/>
    <w:basedOn w:val="Normal"/>
    <w:uiPriority w:val="34"/>
    <w:qFormat/>
    <w:rsid w:val="000b1f80"/>
    <w:pPr>
      <w:spacing w:before="0" w:after="200"/>
      <w:ind w:left="720"/>
      <w:contextualSpacing/>
    </w:pPr>
    <w:rPr>
      <w:rFonts w:ascii="Calibri" w:hAnsi="Calibri" w:eastAsia="Calibri" w:cs="Times New Roman"/>
    </w:rPr>
  </w:style>
  <w:style w:type="paragraph" w:styleId="NormalWeb">
    <w:name w:val="Normal (Web)"/>
    <w:basedOn w:val="Normal"/>
    <w:qFormat/>
    <w:rsid w:val="00491551"/>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ee.com.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LibreOffice/7.6.5.2$Windows_X86_64 LibreOffice_project/38d5f62f85355c192ef5f1dd47c5c0c0c6d6598b</Application>
  <AppVersion>15.0000</AppVersion>
  <DocSecurity>0</DocSecurity>
  <Pages>2</Pages>
  <Words>838</Words>
  <Characters>6343</Characters>
  <CharactersWithSpaces>7274</CharactersWithSpaces>
  <Paragraphs>30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2024-02-01T07:31:00Z</dcterms:created>
  <dc:creator>2800-shvetss</dc:creator>
  <dc:description/>
  <dc:language>uk-UA</dc:language>
  <cp:lastModifiedBy>2403-DusiakT</cp:lastModifiedBy>
  <cp:lastPrinted>2024-01-31T17:54:00Z</cp:lastPrinted>
  <dcterms:modified xsi:type="dcterms:W3CDTF">2024-11-08T08:42:00Z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