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9F" w:rsidRPr="00B71F30" w:rsidRDefault="00EC109F" w:rsidP="00EC109F">
      <w:pPr>
        <w:pStyle w:val="a8"/>
        <w:jc w:val="center"/>
        <w:rPr>
          <w:rFonts w:ascii="Times New Roman" w:hAnsi="Times New Roman"/>
          <w:b/>
        </w:rPr>
      </w:pPr>
      <w:r w:rsidRPr="00B71F30">
        <w:rPr>
          <w:rFonts w:ascii="Times New Roman" w:hAnsi="Times New Roman"/>
          <w:b/>
        </w:rPr>
        <w:t>Головне управління Державної казначейської служби України</w:t>
      </w:r>
    </w:p>
    <w:p w:rsidR="00EC109F" w:rsidRPr="00B71F30" w:rsidRDefault="00EC109F" w:rsidP="00EC109F">
      <w:pPr>
        <w:pStyle w:val="a8"/>
        <w:jc w:val="center"/>
        <w:rPr>
          <w:rFonts w:ascii="Times New Roman" w:hAnsi="Times New Roman"/>
          <w:b/>
        </w:rPr>
      </w:pPr>
      <w:r w:rsidRPr="00B71F30">
        <w:rPr>
          <w:rFonts w:ascii="Times New Roman" w:hAnsi="Times New Roman"/>
          <w:b/>
        </w:rPr>
        <w:t>у Миколаївській області</w:t>
      </w:r>
    </w:p>
    <w:p w:rsidR="00C8648D" w:rsidRDefault="00C8648D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:rsidR="00C8648D" w:rsidRDefault="00EB2724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:rsidR="00C8648D" w:rsidRDefault="00EB2724">
      <w:pPr>
        <w:spacing w:after="280" w:line="240" w:lineRule="auto"/>
        <w:jc w:val="center"/>
        <w:rPr>
          <w:rFonts w:ascii="Times New Roman" w:eastAsia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</w:rPr>
        <w:t xml:space="preserve">технічних та якісних характеристик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закупівлі природного газу, </w:t>
      </w:r>
      <w:r>
        <w:rPr>
          <w:rFonts w:ascii="Times New Roman" w:eastAsia="Times New Roman" w:hAnsi="Times New Roman"/>
          <w:sz w:val="20"/>
          <w:szCs w:val="20"/>
        </w:rPr>
        <w:t>розміру бюджетного призначення, очікуваної вартості предмета закупівлі</w:t>
      </w:r>
    </w:p>
    <w:p w:rsidR="00C8648D" w:rsidRDefault="00EB2724">
      <w:pPr>
        <w:spacing w:before="280" w:after="28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EC109F" w:rsidRPr="00EC109F" w:rsidRDefault="00EB2724" w:rsidP="00EC1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EC109F" w:rsidRPr="00EC109F">
        <w:rPr>
          <w:rStyle w:val="a5"/>
          <w:rFonts w:ascii="Times New Roman" w:hAnsi="Times New Roman"/>
          <w:bCs/>
          <w:sz w:val="20"/>
          <w:szCs w:val="20"/>
        </w:rPr>
        <w:t>Головне управління Державної казначейської служби України у Миколаївській області, орган державної влади, місцевого самоврядування або правоохоронний орган.</w:t>
      </w:r>
    </w:p>
    <w:p w:rsidR="00C8648D" w:rsidRDefault="00EB2724">
      <w:pPr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Природний газ, код 09120000-6 </w:t>
      </w:r>
      <w:r>
        <w:rPr>
          <w:rFonts w:ascii="Times New Roman" w:eastAsia="Times New Roman" w:hAnsi="Times New Roman"/>
          <w:sz w:val="20"/>
          <w:szCs w:val="20"/>
        </w:rPr>
        <w:t>—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Газове паливо за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ДК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021:2015 «Єдиний закупівельний словник» (код номенклатурн</w:t>
      </w:r>
      <w:r>
        <w:rPr>
          <w:rFonts w:ascii="Times New Roman" w:eastAsia="Times New Roman" w:hAnsi="Times New Roman"/>
          <w:sz w:val="20"/>
          <w:szCs w:val="20"/>
        </w:rPr>
        <w:t>ої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позиці</w:t>
      </w:r>
      <w:r>
        <w:rPr>
          <w:rFonts w:ascii="Times New Roman" w:eastAsia="Times New Roman" w:hAnsi="Times New Roman"/>
          <w:sz w:val="20"/>
          <w:szCs w:val="20"/>
        </w:rPr>
        <w:t>ї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242424"/>
          <w:sz w:val="21"/>
          <w:szCs w:val="21"/>
        </w:rPr>
        <w:t>09123000-7 Природний газ).</w:t>
      </w:r>
    </w:p>
    <w:p w:rsidR="00C8648D" w:rsidRDefault="00EB2724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Вид та ідентифікатор процедури закупівлі: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EC109F" w:rsidRPr="00EC109F">
        <w:rPr>
          <w:rFonts w:ascii="Times New Roman" w:hAnsi="Times New Roman"/>
          <w:i/>
          <w:sz w:val="20"/>
          <w:szCs w:val="20"/>
        </w:rPr>
        <w:t>Відкриті торги відповідно до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 за ідентифікатором</w:t>
      </w:r>
      <w:r w:rsidR="00EC109F">
        <w:rPr>
          <w:rFonts w:ascii="Times New Roman" w:hAnsi="Times New Roman"/>
          <w:sz w:val="20"/>
          <w:szCs w:val="20"/>
        </w:rPr>
        <w:t xml:space="preserve">                                    </w:t>
      </w:r>
      <w:r w:rsidR="00712D44" w:rsidRPr="00712D44">
        <w:rPr>
          <w:rFonts w:ascii="Times New Roman" w:hAnsi="Times New Roman"/>
          <w:sz w:val="20"/>
          <w:szCs w:val="20"/>
        </w:rPr>
        <w:t>UA-2024-10-29-013728-a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C8648D" w:rsidRDefault="00EB2724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Розмір бюджетного призначення</w:t>
      </w:r>
      <w:r w:rsidR="00F408A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712D44" w:rsidRPr="00712D44">
        <w:rPr>
          <w:rFonts w:ascii="Times New Roman" w:eastAsia="Times New Roman" w:hAnsi="Times New Roman"/>
          <w:bCs/>
          <w:sz w:val="20"/>
          <w:szCs w:val="20"/>
        </w:rPr>
        <w:t>297 970,02</w:t>
      </w:r>
      <w:r w:rsidR="00712D44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proofErr w:type="spellStart"/>
      <w:r w:rsidR="00F408AB" w:rsidRPr="00F408AB">
        <w:rPr>
          <w:rFonts w:ascii="Times New Roman" w:eastAsia="Times New Roman" w:hAnsi="Times New Roman"/>
          <w:bCs/>
          <w:sz w:val="20"/>
          <w:szCs w:val="20"/>
        </w:rPr>
        <w:t>грн</w:t>
      </w:r>
      <w:proofErr w:type="spellEnd"/>
      <w:r w:rsidR="00F408AB">
        <w:rPr>
          <w:rFonts w:ascii="Times New Roman" w:eastAsia="Times New Roman" w:hAnsi="Times New Roman"/>
          <w:bCs/>
          <w:sz w:val="20"/>
          <w:szCs w:val="20"/>
        </w:rPr>
        <w:t>,</w:t>
      </w:r>
      <w:r w:rsidR="00F408AB" w:rsidRPr="00BA240A">
        <w:rPr>
          <w:rFonts w:ascii="Times New Roman" w:eastAsia="Times New Roman" w:hAnsi="Times New Roman"/>
          <w:bCs/>
          <w:sz w:val="20"/>
          <w:szCs w:val="20"/>
        </w:rPr>
        <w:t xml:space="preserve"> згідно </w:t>
      </w:r>
      <w:r w:rsidR="00712D44" w:rsidRPr="00712D44">
        <w:rPr>
          <w:rFonts w:ascii="Times New Roman" w:eastAsia="Times New Roman" w:hAnsi="Times New Roman"/>
          <w:bCs/>
          <w:sz w:val="20"/>
          <w:szCs w:val="20"/>
        </w:rPr>
        <w:t>бюджетного запиту на 202</w:t>
      </w:r>
      <w:r w:rsidR="001E4C49">
        <w:rPr>
          <w:rFonts w:ascii="Times New Roman" w:eastAsia="Times New Roman" w:hAnsi="Times New Roman"/>
          <w:bCs/>
          <w:sz w:val="20"/>
          <w:szCs w:val="20"/>
        </w:rPr>
        <w:t>5</w:t>
      </w:r>
      <w:r w:rsidR="00712D44" w:rsidRPr="00712D44">
        <w:rPr>
          <w:rFonts w:ascii="Times New Roman" w:eastAsia="Times New Roman" w:hAnsi="Times New Roman"/>
          <w:bCs/>
          <w:sz w:val="20"/>
          <w:szCs w:val="20"/>
        </w:rPr>
        <w:t>-202</w:t>
      </w:r>
      <w:r w:rsidR="001E4C49">
        <w:rPr>
          <w:rFonts w:ascii="Times New Roman" w:eastAsia="Times New Roman" w:hAnsi="Times New Roman"/>
          <w:bCs/>
          <w:sz w:val="20"/>
          <w:szCs w:val="20"/>
        </w:rPr>
        <w:t>7</w:t>
      </w:r>
      <w:r w:rsidR="00712D44" w:rsidRPr="00712D44">
        <w:rPr>
          <w:rFonts w:ascii="Times New Roman" w:eastAsia="Times New Roman" w:hAnsi="Times New Roman"/>
          <w:bCs/>
          <w:sz w:val="20"/>
          <w:szCs w:val="20"/>
        </w:rPr>
        <w:t xml:space="preserve"> роки</w:t>
      </w:r>
      <w:r w:rsidR="005E56DA">
        <w:rPr>
          <w:rFonts w:ascii="Times New Roman" w:eastAsia="Times New Roman" w:hAnsi="Times New Roman"/>
          <w:bCs/>
          <w:sz w:val="20"/>
          <w:szCs w:val="20"/>
        </w:rPr>
        <w:t>.</w:t>
      </w:r>
    </w:p>
    <w:p w:rsidR="00C8648D" w:rsidRDefault="00EB272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1" w:name="_heading=h.3znysh7" w:colFirst="0" w:colLast="0"/>
      <w:bookmarkEnd w:id="1"/>
      <w:r>
        <w:rPr>
          <w:rFonts w:ascii="Times New Roman" w:eastAsia="Times New Roman" w:hAnsi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1E4C49" w:rsidRPr="001E4C49">
        <w:rPr>
          <w:rFonts w:ascii="Times New Roman" w:eastAsia="Times New Roman" w:hAnsi="Times New Roman"/>
          <w:bCs/>
          <w:sz w:val="20"/>
          <w:szCs w:val="20"/>
        </w:rPr>
        <w:t xml:space="preserve">297 970,02 </w:t>
      </w:r>
      <w:r w:rsidR="005E56DA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грн.</w:t>
      </w:r>
    </w:p>
    <w:p w:rsidR="005E56DA" w:rsidRDefault="00EB2724" w:rsidP="005E56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CC11B3">
        <w:rPr>
          <w:rFonts w:ascii="Times New Roman" w:eastAsia="Times New Roman" w:hAnsi="Times New Roman"/>
          <w:sz w:val="20"/>
          <w:szCs w:val="20"/>
        </w:rPr>
        <w:t xml:space="preserve">Замовником здійснено розрахунок очікуваної вартості товарів методом порівняння ринкових цін відповідно до </w:t>
      </w:r>
      <w:r w:rsidR="005E56DA" w:rsidRPr="005E56DA">
        <w:rPr>
          <w:rFonts w:ascii="Times New Roman" w:eastAsia="Times New Roman" w:hAnsi="Times New Roman"/>
          <w:sz w:val="20"/>
          <w:szCs w:val="20"/>
        </w:rPr>
        <w:t>Методики визначення очікуваної вартості предмета закупівлі під час здійснення публічних закупівель у Головному управлінні Державної казначейської служби України у Миколаївській області, затвердженої наказом ГУ ДКСУ у Миколаївській області від 06.03.2024 № 23</w:t>
      </w:r>
      <w:r w:rsidR="005E56DA">
        <w:rPr>
          <w:rFonts w:ascii="Times New Roman" w:eastAsia="Times New Roman" w:hAnsi="Times New Roman"/>
          <w:sz w:val="20"/>
          <w:szCs w:val="20"/>
        </w:rPr>
        <w:t>.</w:t>
      </w:r>
    </w:p>
    <w:p w:rsidR="00C8648D" w:rsidRDefault="00EB2724" w:rsidP="005E56D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А так само з урахуванням </w:t>
      </w:r>
      <w:r w:rsidR="00CC11B3">
        <w:rPr>
          <w:rFonts w:ascii="Times New Roman" w:eastAsia="Times New Roman" w:hAnsi="Times New Roman"/>
          <w:sz w:val="20"/>
          <w:szCs w:val="20"/>
        </w:rPr>
        <w:t xml:space="preserve">того, що </w:t>
      </w:r>
      <w:r w:rsidR="00CC11B3" w:rsidRPr="00CC11B3">
        <w:rPr>
          <w:rFonts w:ascii="Times New Roman" w:eastAsia="Times New Roman" w:hAnsi="Times New Roman"/>
          <w:sz w:val="20"/>
          <w:szCs w:val="20"/>
        </w:rPr>
        <w:t xml:space="preserve">Кабінет Міністрів України Постановою </w:t>
      </w:r>
      <w:r w:rsidR="005E56DA" w:rsidRPr="005E56DA">
        <w:rPr>
          <w:rFonts w:ascii="Times New Roman" w:eastAsia="Times New Roman" w:hAnsi="Times New Roman"/>
          <w:sz w:val="20"/>
          <w:szCs w:val="20"/>
        </w:rPr>
        <w:t>від 23 серпня 2024 р. № 957</w:t>
      </w:r>
      <w:r w:rsidR="00CC11B3" w:rsidRPr="00CC11B3">
        <w:rPr>
          <w:rFonts w:ascii="Times New Roman" w:eastAsia="Times New Roman" w:hAnsi="Times New Roman"/>
          <w:sz w:val="20"/>
          <w:szCs w:val="20"/>
        </w:rPr>
        <w:t>, зокрема, вніс зміни до Постанови Кабінету Міністрів України від 19 липня 2022</w:t>
      </w:r>
      <w:r w:rsidR="00CC11B3">
        <w:rPr>
          <w:rFonts w:ascii="Times New Roman" w:eastAsia="Times New Roman" w:hAnsi="Times New Roman"/>
          <w:sz w:val="20"/>
          <w:szCs w:val="20"/>
        </w:rPr>
        <w:t xml:space="preserve"> </w:t>
      </w:r>
      <w:r w:rsidR="00CC11B3" w:rsidRPr="00CC11B3">
        <w:rPr>
          <w:rFonts w:ascii="Times New Roman" w:eastAsia="Times New Roman" w:hAnsi="Times New Roman"/>
          <w:sz w:val="20"/>
          <w:szCs w:val="20"/>
        </w:rPr>
        <w:t>року № 812 «Про затвердження Положення про покладення спеціальних обов’язків на</w:t>
      </w:r>
      <w:r w:rsidR="00CC11B3">
        <w:rPr>
          <w:rFonts w:ascii="Times New Roman" w:eastAsia="Times New Roman" w:hAnsi="Times New Roman"/>
          <w:sz w:val="20"/>
          <w:szCs w:val="20"/>
        </w:rPr>
        <w:t xml:space="preserve"> </w:t>
      </w:r>
      <w:r w:rsidR="00CC11B3" w:rsidRPr="00CC11B3">
        <w:rPr>
          <w:rFonts w:ascii="Times New Roman" w:eastAsia="Times New Roman" w:hAnsi="Times New Roman"/>
          <w:sz w:val="20"/>
          <w:szCs w:val="20"/>
        </w:rPr>
        <w:t>суб’єктів ринку природного газу для забезпечення загальносуспільних інтересів у процесі</w:t>
      </w:r>
      <w:r w:rsidR="00CC11B3">
        <w:rPr>
          <w:rFonts w:ascii="Times New Roman" w:eastAsia="Times New Roman" w:hAnsi="Times New Roman"/>
          <w:sz w:val="20"/>
          <w:szCs w:val="20"/>
        </w:rPr>
        <w:t xml:space="preserve"> </w:t>
      </w:r>
      <w:r w:rsidR="00CC11B3" w:rsidRPr="00CC11B3">
        <w:rPr>
          <w:rFonts w:ascii="Times New Roman" w:eastAsia="Times New Roman" w:hAnsi="Times New Roman"/>
          <w:sz w:val="20"/>
          <w:szCs w:val="20"/>
        </w:rPr>
        <w:t>функціонування ринку природного газу щодо особливостей постачання природного газу</w:t>
      </w:r>
      <w:r w:rsidR="00CC11B3">
        <w:rPr>
          <w:rFonts w:ascii="Times New Roman" w:eastAsia="Times New Roman" w:hAnsi="Times New Roman"/>
          <w:sz w:val="20"/>
          <w:szCs w:val="20"/>
        </w:rPr>
        <w:t xml:space="preserve"> </w:t>
      </w:r>
      <w:r w:rsidR="00CC11B3" w:rsidRPr="00CC11B3">
        <w:rPr>
          <w:rFonts w:ascii="Times New Roman" w:eastAsia="Times New Roman" w:hAnsi="Times New Roman"/>
          <w:sz w:val="20"/>
          <w:szCs w:val="20"/>
        </w:rPr>
        <w:t xml:space="preserve">виробникам теплової енергії та бюджетним установам», чим продовжив виконання </w:t>
      </w:r>
      <w:r w:rsidR="005E56DA"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="00CC11B3" w:rsidRPr="00CC11B3">
        <w:rPr>
          <w:rFonts w:ascii="Times New Roman" w:eastAsia="Times New Roman" w:hAnsi="Times New Roman"/>
          <w:sz w:val="20"/>
          <w:szCs w:val="20"/>
        </w:rPr>
        <w:t>ТОВ</w:t>
      </w:r>
      <w:r w:rsidR="00CC11B3">
        <w:rPr>
          <w:rFonts w:ascii="Times New Roman" w:eastAsia="Times New Roman" w:hAnsi="Times New Roman"/>
          <w:sz w:val="20"/>
          <w:szCs w:val="20"/>
        </w:rPr>
        <w:t xml:space="preserve"> </w:t>
      </w:r>
      <w:r w:rsidR="00CC11B3" w:rsidRPr="00CC11B3">
        <w:rPr>
          <w:rFonts w:ascii="Times New Roman" w:eastAsia="Times New Roman" w:hAnsi="Times New Roman"/>
          <w:sz w:val="20"/>
          <w:szCs w:val="20"/>
        </w:rPr>
        <w:t>«Газопостачальна компанія «</w:t>
      </w:r>
      <w:proofErr w:type="spellStart"/>
      <w:r w:rsidR="00CC11B3" w:rsidRPr="00CC11B3">
        <w:rPr>
          <w:rFonts w:ascii="Times New Roman" w:eastAsia="Times New Roman" w:hAnsi="Times New Roman"/>
          <w:sz w:val="20"/>
          <w:szCs w:val="20"/>
        </w:rPr>
        <w:t>Нафтогаз</w:t>
      </w:r>
      <w:proofErr w:type="spellEnd"/>
      <w:r w:rsidR="00CC11B3" w:rsidRPr="00CC11B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="00CC11B3" w:rsidRPr="00CC11B3">
        <w:rPr>
          <w:rFonts w:ascii="Times New Roman" w:eastAsia="Times New Roman" w:hAnsi="Times New Roman"/>
          <w:sz w:val="20"/>
          <w:szCs w:val="20"/>
        </w:rPr>
        <w:t>Трейдинг</w:t>
      </w:r>
      <w:proofErr w:type="spellEnd"/>
      <w:r w:rsidR="00CC11B3" w:rsidRPr="00CC11B3">
        <w:rPr>
          <w:rFonts w:ascii="Times New Roman" w:eastAsia="Times New Roman" w:hAnsi="Times New Roman"/>
          <w:sz w:val="20"/>
          <w:szCs w:val="20"/>
        </w:rPr>
        <w:t>» спеціальних обов’язків на ринку</w:t>
      </w:r>
      <w:r w:rsidR="00CC11B3">
        <w:rPr>
          <w:rFonts w:ascii="Times New Roman" w:eastAsia="Times New Roman" w:hAnsi="Times New Roman"/>
          <w:sz w:val="20"/>
          <w:szCs w:val="20"/>
        </w:rPr>
        <w:t xml:space="preserve"> </w:t>
      </w:r>
      <w:r w:rsidR="00CC11B3" w:rsidRPr="00CC11B3">
        <w:rPr>
          <w:rFonts w:ascii="Times New Roman" w:eastAsia="Times New Roman" w:hAnsi="Times New Roman"/>
          <w:sz w:val="20"/>
          <w:szCs w:val="20"/>
        </w:rPr>
        <w:t>природного газу для забезпечення потреб виробників теплової енергії та бюджетних</w:t>
      </w:r>
      <w:r w:rsidR="00CC11B3">
        <w:rPr>
          <w:rFonts w:ascii="Times New Roman" w:eastAsia="Times New Roman" w:hAnsi="Times New Roman"/>
          <w:sz w:val="20"/>
          <w:szCs w:val="20"/>
        </w:rPr>
        <w:t xml:space="preserve"> </w:t>
      </w:r>
      <w:r w:rsidR="00CC11B3" w:rsidRPr="00CC11B3">
        <w:rPr>
          <w:rFonts w:ascii="Times New Roman" w:eastAsia="Times New Roman" w:hAnsi="Times New Roman"/>
          <w:sz w:val="20"/>
          <w:szCs w:val="20"/>
        </w:rPr>
        <w:t xml:space="preserve">установ до </w:t>
      </w:r>
      <w:r w:rsidR="005E56DA">
        <w:rPr>
          <w:rFonts w:ascii="Times New Roman" w:eastAsia="Times New Roman" w:hAnsi="Times New Roman"/>
          <w:sz w:val="20"/>
          <w:szCs w:val="20"/>
        </w:rPr>
        <w:t>30</w:t>
      </w:r>
      <w:r w:rsidR="00CC11B3" w:rsidRPr="00CC11B3">
        <w:rPr>
          <w:rFonts w:ascii="Times New Roman" w:eastAsia="Times New Roman" w:hAnsi="Times New Roman"/>
          <w:sz w:val="20"/>
          <w:szCs w:val="20"/>
        </w:rPr>
        <w:t xml:space="preserve"> квітня 202</w:t>
      </w:r>
      <w:r w:rsidR="005E56DA">
        <w:rPr>
          <w:rFonts w:ascii="Times New Roman" w:eastAsia="Times New Roman" w:hAnsi="Times New Roman"/>
          <w:sz w:val="20"/>
          <w:szCs w:val="20"/>
        </w:rPr>
        <w:t>5</w:t>
      </w:r>
      <w:r w:rsidR="00CC11B3" w:rsidRPr="00CC11B3">
        <w:rPr>
          <w:rFonts w:ascii="Times New Roman" w:eastAsia="Times New Roman" w:hAnsi="Times New Roman"/>
          <w:sz w:val="20"/>
          <w:szCs w:val="20"/>
        </w:rPr>
        <w:t xml:space="preserve"> року. </w:t>
      </w:r>
    </w:p>
    <w:p w:rsidR="00C8648D" w:rsidRPr="00CC11B3" w:rsidRDefault="00EB27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CC11B3">
        <w:rPr>
          <w:rFonts w:ascii="Times New Roman" w:eastAsia="Times New Roman" w:hAnsi="Times New Roman"/>
          <w:sz w:val="20"/>
          <w:szCs w:val="20"/>
        </w:rPr>
        <w:t xml:space="preserve">Пунктом 6 Положення визначено, що ТОВ «Газопостачальна компанія </w:t>
      </w:r>
      <w:proofErr w:type="spellStart"/>
      <w:r w:rsidRPr="00CC11B3">
        <w:rPr>
          <w:rFonts w:ascii="Times New Roman" w:eastAsia="Times New Roman" w:hAnsi="Times New Roman"/>
          <w:sz w:val="20"/>
          <w:szCs w:val="20"/>
        </w:rPr>
        <w:t>„Нафтогаз</w:t>
      </w:r>
      <w:proofErr w:type="spellEnd"/>
      <w:r w:rsidRPr="00CC11B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C11B3">
        <w:rPr>
          <w:rFonts w:ascii="Times New Roman" w:eastAsia="Times New Roman" w:hAnsi="Times New Roman"/>
          <w:sz w:val="20"/>
          <w:szCs w:val="20"/>
        </w:rPr>
        <w:t>Трейдинг“</w:t>
      </w:r>
      <w:proofErr w:type="spellEnd"/>
      <w:r w:rsidRPr="00CC11B3">
        <w:rPr>
          <w:rFonts w:ascii="Times New Roman" w:eastAsia="Times New Roman" w:hAnsi="Times New Roman"/>
          <w:sz w:val="20"/>
          <w:szCs w:val="20"/>
        </w:rPr>
        <w:t xml:space="preserve">» може  постачати по </w:t>
      </w:r>
      <w:r w:rsidR="005E56DA">
        <w:rPr>
          <w:rFonts w:ascii="Times New Roman" w:eastAsia="Times New Roman" w:hAnsi="Times New Roman"/>
          <w:sz w:val="20"/>
          <w:szCs w:val="20"/>
        </w:rPr>
        <w:t>30</w:t>
      </w:r>
      <w:r w:rsidR="00CC11B3" w:rsidRPr="00CC11B3">
        <w:rPr>
          <w:rFonts w:ascii="Times New Roman" w:eastAsia="Times New Roman" w:hAnsi="Times New Roman"/>
          <w:sz w:val="20"/>
          <w:szCs w:val="20"/>
        </w:rPr>
        <w:t xml:space="preserve"> квітня</w:t>
      </w:r>
      <w:r w:rsidRPr="00CC11B3">
        <w:rPr>
          <w:rFonts w:ascii="Times New Roman" w:eastAsia="Times New Roman" w:hAnsi="Times New Roman"/>
          <w:sz w:val="20"/>
          <w:szCs w:val="20"/>
        </w:rPr>
        <w:t xml:space="preserve"> 202</w:t>
      </w:r>
      <w:r w:rsidR="005E56DA">
        <w:rPr>
          <w:rFonts w:ascii="Times New Roman" w:eastAsia="Times New Roman" w:hAnsi="Times New Roman"/>
          <w:sz w:val="20"/>
          <w:szCs w:val="20"/>
        </w:rPr>
        <w:t>5</w:t>
      </w:r>
      <w:r w:rsidRPr="00CC11B3">
        <w:rPr>
          <w:rFonts w:ascii="Times New Roman" w:eastAsia="Times New Roman" w:hAnsi="Times New Roman"/>
          <w:sz w:val="20"/>
          <w:szCs w:val="20"/>
        </w:rPr>
        <w:t xml:space="preserve"> р. (включно) природний газ бюджетним установам за ціною, що становить </w:t>
      </w:r>
      <w:r w:rsidR="00CC11B3" w:rsidRPr="00CC11B3">
        <w:rPr>
          <w:rFonts w:ascii="Times New Roman" w:eastAsia="Times New Roman" w:hAnsi="Times New Roman"/>
          <w:sz w:val="20"/>
          <w:szCs w:val="20"/>
        </w:rPr>
        <w:t>16553,89</w:t>
      </w:r>
      <w:r w:rsidR="00CC11B3">
        <w:rPr>
          <w:rFonts w:ascii="Times New Roman" w:eastAsia="Times New Roman" w:hAnsi="Times New Roman"/>
          <w:sz w:val="20"/>
          <w:szCs w:val="20"/>
        </w:rPr>
        <w:t xml:space="preserve"> </w:t>
      </w:r>
      <w:r w:rsidRPr="00CC11B3">
        <w:rPr>
          <w:rFonts w:ascii="Times New Roman" w:eastAsia="Times New Roman" w:hAnsi="Times New Roman"/>
          <w:sz w:val="20"/>
          <w:szCs w:val="20"/>
        </w:rPr>
        <w:t>гривень з урахуванням податку на додану вартість за 1000 куб. метрів газу (з урахування</w:t>
      </w:r>
      <w:r w:rsidR="00CC11B3">
        <w:rPr>
          <w:rFonts w:ascii="Times New Roman" w:eastAsia="Times New Roman" w:hAnsi="Times New Roman"/>
          <w:sz w:val="20"/>
          <w:szCs w:val="20"/>
        </w:rPr>
        <w:t>м</w:t>
      </w:r>
      <w:r w:rsidRPr="00CC11B3">
        <w:rPr>
          <w:rFonts w:ascii="Times New Roman" w:eastAsia="Times New Roman" w:hAnsi="Times New Roman"/>
          <w:sz w:val="20"/>
          <w:szCs w:val="20"/>
        </w:rPr>
        <w:t xml:space="preserve"> тарифу на послуги з транспортування природного газу для точки виходу та коефіцієнта, який застосовується у разі замовлення потужності на добу наперед).</w:t>
      </w:r>
    </w:p>
    <w:p w:rsidR="00CC11B3" w:rsidRDefault="00EB2724" w:rsidP="00CC11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Для порівняння </w:t>
      </w:r>
      <w:r w:rsidR="00CC11B3">
        <w:rPr>
          <w:rFonts w:ascii="Times New Roman" w:eastAsia="Times New Roman" w:hAnsi="Times New Roman"/>
          <w:sz w:val="20"/>
          <w:szCs w:val="20"/>
        </w:rPr>
        <w:t xml:space="preserve">на сайті Української енергетичної біржі за посиланням </w:t>
      </w:r>
      <w:hyperlink r:id="rId6" w:history="1">
        <w:r w:rsidR="00CC11B3" w:rsidRPr="00FD47C2">
          <w:rPr>
            <w:rStyle w:val="a4"/>
            <w:rFonts w:ascii="Times New Roman" w:eastAsia="Times New Roman" w:hAnsi="Times New Roman"/>
            <w:sz w:val="20"/>
            <w:szCs w:val="20"/>
          </w:rPr>
          <w:t>https://www.ueex.com.ua/exchange-quotations/</w:t>
        </w:r>
      </w:hyperlink>
      <w:r w:rsidR="00CC11B3">
        <w:rPr>
          <w:rFonts w:ascii="Times New Roman" w:eastAsia="Times New Roman" w:hAnsi="Times New Roman"/>
          <w:sz w:val="20"/>
          <w:szCs w:val="20"/>
        </w:rPr>
        <w:t xml:space="preserve"> </w:t>
      </w:r>
      <w:r w:rsidR="00CC11B3" w:rsidRPr="00CC11B3">
        <w:rPr>
          <w:rFonts w:ascii="Times New Roman" w:eastAsia="Times New Roman" w:hAnsi="Times New Roman"/>
          <w:sz w:val="20"/>
          <w:szCs w:val="20"/>
        </w:rPr>
        <w:t>Результати торгів стандартизованими продуктами за напрямком «Природний газ»</w:t>
      </w:r>
      <w:r w:rsidR="00CC11B3">
        <w:rPr>
          <w:rFonts w:ascii="Times New Roman" w:eastAsia="Times New Roman" w:hAnsi="Times New Roman"/>
          <w:sz w:val="20"/>
          <w:szCs w:val="20"/>
        </w:rPr>
        <w:t xml:space="preserve"> станом на </w:t>
      </w:r>
      <w:r w:rsidR="00915CDF">
        <w:rPr>
          <w:rFonts w:ascii="Times New Roman" w:eastAsia="Times New Roman" w:hAnsi="Times New Roman"/>
          <w:sz w:val="20"/>
          <w:szCs w:val="20"/>
        </w:rPr>
        <w:t>28</w:t>
      </w:r>
      <w:r w:rsidR="00CC11B3">
        <w:rPr>
          <w:rFonts w:ascii="Times New Roman" w:eastAsia="Times New Roman" w:hAnsi="Times New Roman"/>
          <w:sz w:val="20"/>
          <w:szCs w:val="20"/>
        </w:rPr>
        <w:t>.</w:t>
      </w:r>
      <w:r w:rsidR="00915CDF">
        <w:rPr>
          <w:rFonts w:ascii="Times New Roman" w:eastAsia="Times New Roman" w:hAnsi="Times New Roman"/>
          <w:sz w:val="20"/>
          <w:szCs w:val="20"/>
        </w:rPr>
        <w:t>10</w:t>
      </w:r>
      <w:r w:rsidR="00CC11B3">
        <w:rPr>
          <w:rFonts w:ascii="Times New Roman" w:eastAsia="Times New Roman" w:hAnsi="Times New Roman"/>
          <w:sz w:val="20"/>
          <w:szCs w:val="20"/>
        </w:rPr>
        <w:t>.202</w:t>
      </w:r>
      <w:r w:rsidR="00915CDF">
        <w:rPr>
          <w:rFonts w:ascii="Times New Roman" w:eastAsia="Times New Roman" w:hAnsi="Times New Roman"/>
          <w:sz w:val="20"/>
          <w:szCs w:val="20"/>
        </w:rPr>
        <w:t>4</w:t>
      </w:r>
      <w:r w:rsidR="00CC11B3">
        <w:rPr>
          <w:rFonts w:ascii="Times New Roman" w:eastAsia="Times New Roman" w:hAnsi="Times New Roman"/>
          <w:sz w:val="20"/>
          <w:szCs w:val="20"/>
        </w:rPr>
        <w:t xml:space="preserve"> становлять:</w:t>
      </w:r>
    </w:p>
    <w:p w:rsidR="00915CDF" w:rsidRDefault="00915CDF" w:rsidP="00915C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5567776" cy="552215"/>
            <wp:effectExtent l="19050" t="0" r="0" b="0"/>
            <wp:docPr id="2" name="Рисунок 1" descr="Снимок экрана (25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258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5964" cy="55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48D" w:rsidRDefault="00C864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</w:p>
    <w:p w:rsidR="00C8648D" w:rsidRPr="00CC11B3" w:rsidRDefault="00EB27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highlight w:val="yellow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Відповідно до пункту 12 частини 1 статті 2 розділу 1 Бюджетного кодексу України бюджетні установи — це органи державної влади, органи місцевого самоврядування, а також організації, створені ними у встановленому порядку, що повністю утримуються за рахунок, відповідно, державного бюджету чи місцевого бюджету. Бюджетні установи є неприбутковими. </w:t>
      </w:r>
      <w:r>
        <w:rPr>
          <w:rFonts w:ascii="Times New Roman" w:eastAsia="Times New Roman" w:hAnsi="Times New Roman"/>
          <w:sz w:val="20"/>
          <w:szCs w:val="20"/>
        </w:rPr>
        <w:t xml:space="preserve">Тож, замовник має право отримувати природний газ за найбільш економічно вигідною ціною </w:t>
      </w:r>
      <w:r w:rsidR="00CC11B3" w:rsidRPr="00CC11B3">
        <w:rPr>
          <w:rFonts w:ascii="Times New Roman" w:eastAsia="Times New Roman" w:hAnsi="Times New Roman"/>
          <w:sz w:val="20"/>
          <w:szCs w:val="20"/>
        </w:rPr>
        <w:t>16553,89</w:t>
      </w:r>
      <w:r w:rsidR="00CC11B3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грн з ПДВ</w:t>
      </w:r>
      <w:r>
        <w:rPr>
          <w:rFonts w:ascii="Times New Roman" w:eastAsia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</w:rPr>
        <w:t>(ціна за 1 тис. куб. м природного газу, яку пропонує ТОВ Газопостачальна компанія «</w:t>
      </w:r>
      <w:proofErr w:type="spellStart"/>
      <w:r>
        <w:rPr>
          <w:rFonts w:ascii="Times New Roman" w:eastAsia="Times New Roman" w:hAnsi="Times New Roman"/>
          <w:i/>
          <w:sz w:val="20"/>
          <w:szCs w:val="20"/>
        </w:rPr>
        <w:t>Нафтогаз</w:t>
      </w:r>
      <w:proofErr w:type="spellEnd"/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</w:rPr>
        <w:t>Трейдинг</w:t>
      </w:r>
      <w:proofErr w:type="spellEnd"/>
      <w:r>
        <w:rPr>
          <w:rFonts w:ascii="Times New Roman" w:eastAsia="Times New Roman" w:hAnsi="Times New Roman"/>
          <w:i/>
          <w:sz w:val="20"/>
          <w:szCs w:val="20"/>
        </w:rPr>
        <w:t>»)</w:t>
      </w:r>
      <w:r w:rsidR="00CC11B3">
        <w:rPr>
          <w:rFonts w:ascii="Times New Roman" w:eastAsia="Times New Roman" w:hAnsi="Times New Roman"/>
          <w:sz w:val="20"/>
          <w:szCs w:val="20"/>
        </w:rPr>
        <w:t>.</w:t>
      </w:r>
    </w:p>
    <w:p w:rsidR="00C8648D" w:rsidRPr="00CC11B3" w:rsidRDefault="00EB27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CC11B3">
        <w:rPr>
          <w:rFonts w:ascii="Times New Roman" w:eastAsia="Times New Roman" w:hAnsi="Times New Roman"/>
          <w:sz w:val="20"/>
          <w:szCs w:val="20"/>
        </w:rPr>
        <w:t xml:space="preserve">Визначення обсягу предмета закупівлі визначено аналізом споживання (річного та місячного) природного газу за період з </w:t>
      </w:r>
      <w:r w:rsidR="00307771">
        <w:rPr>
          <w:rFonts w:ascii="Times New Roman" w:eastAsia="Times New Roman" w:hAnsi="Times New Roman"/>
          <w:sz w:val="20"/>
          <w:szCs w:val="20"/>
        </w:rPr>
        <w:t>січня</w:t>
      </w:r>
      <w:r w:rsidRPr="00CC11B3">
        <w:rPr>
          <w:rFonts w:ascii="Times New Roman" w:eastAsia="Times New Roman" w:hAnsi="Times New Roman"/>
          <w:sz w:val="20"/>
          <w:szCs w:val="20"/>
        </w:rPr>
        <w:t xml:space="preserve"> по </w:t>
      </w:r>
      <w:r w:rsidR="00307771">
        <w:rPr>
          <w:rFonts w:ascii="Times New Roman" w:eastAsia="Times New Roman" w:hAnsi="Times New Roman"/>
          <w:sz w:val="20"/>
          <w:szCs w:val="20"/>
        </w:rPr>
        <w:t>квітень</w:t>
      </w:r>
      <w:r w:rsidRPr="00CC11B3">
        <w:rPr>
          <w:rFonts w:ascii="Times New Roman" w:eastAsia="Times New Roman" w:hAnsi="Times New Roman"/>
          <w:sz w:val="20"/>
          <w:szCs w:val="20"/>
        </w:rPr>
        <w:t xml:space="preserve"> </w:t>
      </w:r>
      <w:r w:rsidR="00CC11B3" w:rsidRPr="00CC11B3">
        <w:rPr>
          <w:rFonts w:ascii="Times New Roman" w:eastAsia="Times New Roman" w:hAnsi="Times New Roman"/>
          <w:sz w:val="20"/>
          <w:szCs w:val="20"/>
        </w:rPr>
        <w:t>202</w:t>
      </w:r>
      <w:r w:rsidR="00307771">
        <w:rPr>
          <w:rFonts w:ascii="Times New Roman" w:eastAsia="Times New Roman" w:hAnsi="Times New Roman"/>
          <w:sz w:val="20"/>
          <w:szCs w:val="20"/>
        </w:rPr>
        <w:t>4</w:t>
      </w:r>
      <w:r w:rsidR="00CC11B3" w:rsidRPr="00CC11B3">
        <w:rPr>
          <w:rFonts w:ascii="Times New Roman" w:eastAsia="Times New Roman" w:hAnsi="Times New Roman"/>
          <w:sz w:val="20"/>
          <w:szCs w:val="20"/>
        </w:rPr>
        <w:t xml:space="preserve"> року</w:t>
      </w:r>
      <w:r w:rsidRPr="00CC11B3">
        <w:rPr>
          <w:rFonts w:ascii="Times New Roman" w:eastAsia="Times New Roman" w:hAnsi="Times New Roman"/>
          <w:sz w:val="20"/>
          <w:szCs w:val="20"/>
        </w:rPr>
        <w:t xml:space="preserve">. </w:t>
      </w:r>
    </w:p>
    <w:p w:rsidR="00C8648D" w:rsidRPr="00741A08" w:rsidRDefault="00EB27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lastRenderedPageBreak/>
        <w:t xml:space="preserve"> Згідно з викладен</w:t>
      </w:r>
      <w:r>
        <w:rPr>
          <w:rFonts w:ascii="Times New Roman" w:eastAsia="Times New Roman" w:hAnsi="Times New Roman"/>
          <w:sz w:val="20"/>
          <w:szCs w:val="20"/>
        </w:rPr>
        <w:t>им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вище</w:t>
      </w:r>
      <w:r w:rsidR="0043190C">
        <w:rPr>
          <w:rFonts w:ascii="Times New Roman" w:eastAsia="Times New Roman" w:hAnsi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очікувана вартість предмета </w:t>
      </w:r>
      <w:r w:rsidRPr="00741A08">
        <w:rPr>
          <w:rFonts w:ascii="Times New Roman" w:eastAsia="Times New Roman" w:hAnsi="Times New Roman"/>
          <w:sz w:val="20"/>
          <w:szCs w:val="20"/>
        </w:rPr>
        <w:t xml:space="preserve">закупівлі розрахована таким чином: </w:t>
      </w:r>
      <w:r w:rsidR="0043190C">
        <w:rPr>
          <w:rFonts w:ascii="Times New Roman" w:eastAsia="Times New Roman" w:hAnsi="Times New Roman"/>
          <w:sz w:val="20"/>
          <w:szCs w:val="20"/>
        </w:rPr>
        <w:t xml:space="preserve">                   </w:t>
      </w:r>
      <w:r w:rsidR="00741A08" w:rsidRPr="00741A08">
        <w:rPr>
          <w:rFonts w:ascii="Times New Roman" w:eastAsia="Times New Roman" w:hAnsi="Times New Roman"/>
          <w:sz w:val="20"/>
          <w:szCs w:val="20"/>
        </w:rPr>
        <w:t>1</w:t>
      </w:r>
      <w:r w:rsidR="00307771">
        <w:rPr>
          <w:rFonts w:ascii="Times New Roman" w:eastAsia="Times New Roman" w:hAnsi="Times New Roman"/>
          <w:sz w:val="20"/>
          <w:szCs w:val="20"/>
        </w:rPr>
        <w:t>8</w:t>
      </w:r>
      <w:r w:rsidR="00741A08" w:rsidRPr="00741A08">
        <w:rPr>
          <w:rFonts w:ascii="Times New Roman" w:eastAsia="Times New Roman" w:hAnsi="Times New Roman"/>
          <w:sz w:val="20"/>
          <w:szCs w:val="20"/>
        </w:rPr>
        <w:t xml:space="preserve">,0 тис </w:t>
      </w:r>
      <w:proofErr w:type="spellStart"/>
      <w:r w:rsidR="00741A08" w:rsidRPr="00741A08">
        <w:rPr>
          <w:rFonts w:ascii="Times New Roman" w:eastAsia="Times New Roman" w:hAnsi="Times New Roman"/>
          <w:sz w:val="20"/>
          <w:szCs w:val="20"/>
        </w:rPr>
        <w:t>м.куб</w:t>
      </w:r>
      <w:proofErr w:type="spellEnd"/>
      <w:r w:rsidRPr="00741A08">
        <w:rPr>
          <w:rFonts w:ascii="Times New Roman" w:eastAsia="Times New Roman" w:hAnsi="Times New Roman"/>
          <w:sz w:val="20"/>
          <w:szCs w:val="20"/>
        </w:rPr>
        <w:t xml:space="preserve"> * </w:t>
      </w:r>
      <w:r w:rsidR="00741A08" w:rsidRPr="00741A08">
        <w:rPr>
          <w:rFonts w:ascii="Times New Roman" w:eastAsia="Times New Roman" w:hAnsi="Times New Roman"/>
          <w:sz w:val="20"/>
          <w:szCs w:val="20"/>
        </w:rPr>
        <w:t>16553,89</w:t>
      </w:r>
      <w:r w:rsidRPr="00741A08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741A08">
        <w:rPr>
          <w:rFonts w:ascii="Times New Roman" w:eastAsia="Times New Roman" w:hAnsi="Times New Roman"/>
          <w:sz w:val="20"/>
          <w:szCs w:val="20"/>
        </w:rPr>
        <w:t>грн</w:t>
      </w:r>
      <w:proofErr w:type="spellEnd"/>
      <w:r w:rsidRPr="00741A08">
        <w:rPr>
          <w:rFonts w:ascii="Times New Roman" w:eastAsia="Times New Roman" w:hAnsi="Times New Roman"/>
          <w:sz w:val="20"/>
          <w:szCs w:val="20"/>
        </w:rPr>
        <w:t xml:space="preserve"> з ПДВ</w:t>
      </w:r>
      <w:r w:rsidR="00741A08">
        <w:rPr>
          <w:rFonts w:ascii="Times New Roman" w:eastAsia="Times New Roman" w:hAnsi="Times New Roman"/>
          <w:color w:val="FF0000"/>
          <w:sz w:val="20"/>
          <w:szCs w:val="20"/>
        </w:rPr>
        <w:t>.</w:t>
      </w:r>
      <w:r w:rsidRPr="00741A08">
        <w:rPr>
          <w:rFonts w:ascii="Times New Roman" w:eastAsia="Times New Roman" w:hAnsi="Times New Roman"/>
          <w:color w:val="FF0000"/>
          <w:sz w:val="20"/>
          <w:szCs w:val="20"/>
        </w:rPr>
        <w:t xml:space="preserve"> </w:t>
      </w:r>
    </w:p>
    <w:p w:rsidR="00C8648D" w:rsidRDefault="00EB27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  <w:r>
        <w:rPr>
          <w:rFonts w:ascii="Times New Roman" w:eastAsia="Times New Roman" w:hAnsi="Times New Roman"/>
          <w:color w:val="FF0000"/>
          <w:sz w:val="20"/>
          <w:szCs w:val="20"/>
        </w:rPr>
        <w:t xml:space="preserve"> </w:t>
      </w:r>
    </w:p>
    <w:p w:rsidR="00C8648D" w:rsidRDefault="00EB2724">
      <w:pPr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технічних, якісних характеристик. </w:t>
      </w:r>
    </w:p>
    <w:p w:rsidR="00915CDF" w:rsidRPr="004B7673" w:rsidRDefault="00915CDF" w:rsidP="00915C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_heading=h.1fob9te" w:colFirst="0" w:colLast="0"/>
      <w:bookmarkEnd w:id="2"/>
      <w:r w:rsidRPr="004B7673">
        <w:rPr>
          <w:rFonts w:ascii="Times New Roman" w:eastAsia="Times New Roman" w:hAnsi="Times New Roman"/>
          <w:color w:val="000000"/>
          <w:sz w:val="20"/>
          <w:szCs w:val="20"/>
        </w:rPr>
        <w:t>Товар повинен відповідати вимогам Кодексу газорозподільних систем та Кодексу газотранспортної системи, зокрема: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18"/>
        <w:gridCol w:w="4181"/>
      </w:tblGrid>
      <w:tr w:rsidR="00915CDF" w:rsidRPr="004B7673" w:rsidTr="0043190C">
        <w:trPr>
          <w:trHeight w:val="5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15CDF" w:rsidRPr="004B7673" w:rsidRDefault="00915CDF" w:rsidP="0043190C">
            <w:pPr>
              <w:spacing w:after="0" w:line="240" w:lineRule="auto"/>
              <w:ind w:firstLine="14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Найменування показника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5CDF" w:rsidRPr="004B7673" w:rsidRDefault="00915CDF" w:rsidP="00431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Норма</w:t>
            </w:r>
          </w:p>
        </w:tc>
      </w:tr>
      <w:tr w:rsidR="00915CDF" w:rsidRPr="004B7673" w:rsidTr="0043190C">
        <w:trPr>
          <w:trHeight w:val="4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1. Теплота згоряння нижча,  </w:t>
            </w:r>
            <w:proofErr w:type="spellStart"/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МДж</w:t>
            </w:r>
            <w:proofErr w:type="spellEnd"/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/м³ </w:t>
            </w:r>
            <w:proofErr w:type="spellStart"/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кПа</w:t>
            </w:r>
            <w:proofErr w:type="spellEnd"/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  при 20ºС/25 ºС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32,66 (</w:t>
            </w:r>
            <w:r w:rsidRPr="004B7673">
              <w:rPr>
                <w:rFonts w:ascii="Times New Roman" w:eastAsia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09,07 </w:t>
            </w:r>
            <w:proofErr w:type="spellStart"/>
            <w:r w:rsidRPr="004B7673">
              <w:rPr>
                <w:rFonts w:ascii="Times New Roman" w:eastAsia="Times New Roman" w:hAnsi="Times New Roman"/>
                <w:color w:val="333333"/>
                <w:sz w:val="20"/>
                <w:szCs w:val="20"/>
                <w:shd w:val="clear" w:color="auto" w:fill="FFFFFF"/>
              </w:rPr>
              <w:t>кВт</w:t>
            </w:r>
            <w:r w:rsidRPr="004B7673">
              <w:rPr>
                <w:rFonts w:ascii="Cambria Math" w:eastAsia="Times New Roman" w:hAnsi="Cambria Math"/>
                <w:b/>
                <w:bCs/>
                <w:color w:val="333333"/>
                <w:sz w:val="20"/>
                <w:szCs w:val="20"/>
                <w:shd w:val="clear" w:color="auto" w:fill="FFFFFF"/>
              </w:rPr>
              <w:t>⋅</w:t>
            </w:r>
            <w:r w:rsidRPr="004B7673">
              <w:rPr>
                <w:rFonts w:ascii="Times New Roman" w:eastAsia="Times New Roman" w:hAnsi="Times New Roman"/>
                <w:color w:val="333333"/>
                <w:sz w:val="20"/>
                <w:szCs w:val="20"/>
                <w:shd w:val="clear" w:color="auto" w:fill="FFFFFF"/>
              </w:rPr>
              <w:t>год</w:t>
            </w:r>
            <w:proofErr w:type="spellEnd"/>
            <w:r w:rsidRPr="004B7673">
              <w:rPr>
                <w:rFonts w:ascii="Times New Roman" w:eastAsia="Times New Roman" w:hAnsi="Times New Roman"/>
                <w:color w:val="333333"/>
                <w:sz w:val="20"/>
                <w:szCs w:val="20"/>
                <w:shd w:val="clear" w:color="auto" w:fill="FFFFFF"/>
              </w:rPr>
              <w:t>/м</w:t>
            </w:r>
            <w:r w:rsidRPr="004B7673">
              <w:rPr>
                <w:rFonts w:ascii="Times New Roman" w:eastAsia="Times New Roman" w:hAnsi="Times New Roman"/>
                <w:b/>
                <w:bCs/>
                <w:color w:val="333333"/>
                <w:sz w:val="12"/>
                <w:szCs w:val="12"/>
                <w:shd w:val="clear" w:color="auto" w:fill="FFFFFF"/>
                <w:vertAlign w:val="superscript"/>
              </w:rPr>
              <w:t>-3</w:t>
            </w:r>
            <w:r w:rsidRPr="004B7673">
              <w:rPr>
                <w:rFonts w:ascii="Times New Roman" w:eastAsia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) - 34,54 </w:t>
            </w:r>
            <w:proofErr w:type="spellStart"/>
            <w:r w:rsidRPr="004B7673">
              <w:rPr>
                <w:rFonts w:ascii="Times New Roman" w:eastAsia="Times New Roman" w:hAnsi="Times New Roman"/>
                <w:color w:val="333333"/>
                <w:sz w:val="20"/>
                <w:szCs w:val="20"/>
                <w:shd w:val="clear" w:color="auto" w:fill="FFFFFF"/>
              </w:rPr>
              <w:t>МДж</w:t>
            </w:r>
            <w:proofErr w:type="spellEnd"/>
            <w:r w:rsidRPr="004B7673">
              <w:rPr>
                <w:rFonts w:ascii="Times New Roman" w:eastAsia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/м-3 (09,59 </w:t>
            </w:r>
            <w:proofErr w:type="spellStart"/>
            <w:r w:rsidRPr="004B7673">
              <w:rPr>
                <w:rFonts w:ascii="Times New Roman" w:eastAsia="Times New Roman" w:hAnsi="Times New Roman"/>
                <w:color w:val="333333"/>
                <w:sz w:val="20"/>
                <w:szCs w:val="20"/>
                <w:shd w:val="clear" w:color="auto" w:fill="FFFFFF"/>
              </w:rPr>
              <w:t>кВт</w:t>
            </w:r>
            <w:r w:rsidRPr="004B7673">
              <w:rPr>
                <w:rFonts w:ascii="Cambria Math" w:eastAsia="Times New Roman" w:hAnsi="Cambria Math"/>
                <w:color w:val="333333"/>
                <w:sz w:val="20"/>
                <w:szCs w:val="20"/>
                <w:shd w:val="clear" w:color="auto" w:fill="FFFFFF"/>
              </w:rPr>
              <w:t>⋅</w:t>
            </w:r>
            <w:r w:rsidRPr="004B7673">
              <w:rPr>
                <w:rFonts w:ascii="Times New Roman" w:eastAsia="Times New Roman" w:hAnsi="Times New Roman"/>
                <w:color w:val="333333"/>
                <w:sz w:val="20"/>
                <w:szCs w:val="20"/>
                <w:shd w:val="clear" w:color="auto" w:fill="FFFFFF"/>
              </w:rPr>
              <w:t>год</w:t>
            </w:r>
            <w:proofErr w:type="spellEnd"/>
            <w:r w:rsidRPr="004B7673">
              <w:rPr>
                <w:rFonts w:ascii="Times New Roman" w:eastAsia="Times New Roman" w:hAnsi="Times New Roman"/>
                <w:color w:val="333333"/>
                <w:sz w:val="20"/>
                <w:szCs w:val="20"/>
                <w:shd w:val="clear" w:color="auto" w:fill="FFFFFF"/>
              </w:rPr>
              <w:t>/м-3)</w:t>
            </w:r>
          </w:p>
        </w:tc>
      </w:tr>
      <w:tr w:rsidR="00915CDF" w:rsidRPr="004B7673" w:rsidTr="0043190C">
        <w:trPr>
          <w:trHeight w:val="4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2. Теплота згоряння вища,  </w:t>
            </w:r>
            <w:proofErr w:type="spellStart"/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МДж</w:t>
            </w:r>
            <w:proofErr w:type="spellEnd"/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/м³ </w:t>
            </w:r>
            <w:proofErr w:type="spellStart"/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кПа</w:t>
            </w:r>
            <w:proofErr w:type="spellEnd"/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  при 20ºС/25 ºС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36,20 (10,06 </w:t>
            </w:r>
            <w:proofErr w:type="spellStart"/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кВт</w:t>
            </w:r>
            <w:r w:rsidRPr="004B7673">
              <w:rPr>
                <w:rFonts w:ascii="Cambria Math" w:eastAsia="Times New Roman" w:hAnsi="Cambria Math"/>
                <w:color w:val="000000"/>
                <w:sz w:val="20"/>
                <w:szCs w:val="20"/>
              </w:rPr>
              <w:t>⋅</w:t>
            </w: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год</w:t>
            </w:r>
            <w:proofErr w:type="spellEnd"/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/м-3) - 38,30 (10,64 </w:t>
            </w:r>
            <w:proofErr w:type="spellStart"/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кВт</w:t>
            </w:r>
            <w:r w:rsidRPr="004B7673">
              <w:rPr>
                <w:rFonts w:ascii="Cambria Math" w:eastAsia="Times New Roman" w:hAnsi="Cambria Math"/>
                <w:color w:val="000000"/>
                <w:sz w:val="20"/>
                <w:szCs w:val="20"/>
              </w:rPr>
              <w:t>⋅</w:t>
            </w: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год</w:t>
            </w:r>
            <w:proofErr w:type="spellEnd"/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/м-3)</w:t>
            </w:r>
          </w:p>
        </w:tc>
      </w:tr>
      <w:tr w:rsidR="00915CDF" w:rsidRPr="004B7673" w:rsidTr="0043190C">
        <w:trPr>
          <w:trHeight w:val="4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3. Теплота згоряння вища,  </w:t>
            </w:r>
            <w:proofErr w:type="spellStart"/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МДж</w:t>
            </w:r>
            <w:proofErr w:type="spellEnd"/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/м³ </w:t>
            </w:r>
            <w:proofErr w:type="spellStart"/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кПа</w:t>
            </w:r>
            <w:proofErr w:type="spellEnd"/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  при 25 °C/0 °C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38,85 (10,80 </w:t>
            </w:r>
            <w:proofErr w:type="spellStart"/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кВт</w:t>
            </w:r>
            <w:r w:rsidRPr="004B7673">
              <w:rPr>
                <w:rFonts w:ascii="Cambria Math" w:eastAsia="Times New Roman" w:hAnsi="Cambria Math"/>
                <w:color w:val="000000"/>
                <w:sz w:val="20"/>
                <w:szCs w:val="20"/>
              </w:rPr>
              <w:t>⋅</w:t>
            </w: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год</w:t>
            </w:r>
            <w:proofErr w:type="spellEnd"/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/м-3) - 41,10 (11,42 </w:t>
            </w:r>
            <w:proofErr w:type="spellStart"/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кВт</w:t>
            </w:r>
            <w:r w:rsidRPr="004B7673">
              <w:rPr>
                <w:rFonts w:ascii="Cambria Math" w:eastAsia="Times New Roman" w:hAnsi="Cambria Math"/>
                <w:color w:val="000000"/>
                <w:sz w:val="20"/>
                <w:szCs w:val="20"/>
              </w:rPr>
              <w:t>⋅</w:t>
            </w: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год</w:t>
            </w:r>
            <w:proofErr w:type="spellEnd"/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/м-3)</w:t>
            </w:r>
          </w:p>
        </w:tc>
      </w:tr>
      <w:tr w:rsidR="00915CDF" w:rsidRPr="004B7673" w:rsidTr="00915CDF">
        <w:trPr>
          <w:trHeight w:val="1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 Вміст метану (C1), мол.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мінімум 90</w:t>
            </w:r>
          </w:p>
        </w:tc>
      </w:tr>
      <w:tr w:rsidR="00915CDF" w:rsidRPr="004B7673" w:rsidTr="00915CDF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 Вміст етану (C2), мол.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максимум 7</w:t>
            </w:r>
          </w:p>
        </w:tc>
      </w:tr>
      <w:tr w:rsidR="00915CDF" w:rsidRPr="004B7673" w:rsidTr="00915CDF">
        <w:trPr>
          <w:trHeight w:val="1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6. Вміст пропану (C3), мол.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максимум 3</w:t>
            </w:r>
          </w:p>
        </w:tc>
      </w:tr>
      <w:tr w:rsidR="00915CDF" w:rsidRPr="004B7673" w:rsidTr="00915CDF">
        <w:trPr>
          <w:trHeight w:val="2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7. Вміст бутану (C4), мол.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максимум 2</w:t>
            </w:r>
          </w:p>
        </w:tc>
      </w:tr>
      <w:tr w:rsidR="00915CDF" w:rsidRPr="004B7673" w:rsidTr="0043190C">
        <w:trPr>
          <w:trHeight w:val="4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 Вміст пентану та інших більш важких вуглеводнів (C5+), мол.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максимум 1</w:t>
            </w:r>
          </w:p>
        </w:tc>
      </w:tr>
      <w:tr w:rsidR="00915CDF" w:rsidRPr="004B7673" w:rsidTr="00915CDF">
        <w:trPr>
          <w:trHeight w:val="2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9. Вміст азоту (N2), мол.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максимум 5</w:t>
            </w:r>
          </w:p>
        </w:tc>
      </w:tr>
      <w:tr w:rsidR="00915CDF" w:rsidRPr="004B7673" w:rsidTr="00915CDF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10. Вміст вуглецю (CO2), мол.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максимум 2</w:t>
            </w:r>
          </w:p>
        </w:tc>
      </w:tr>
      <w:tr w:rsidR="00915CDF" w:rsidRPr="004B7673" w:rsidTr="00915CDF">
        <w:trPr>
          <w:trHeight w:val="1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11. Вміст кисню (O2), мол.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максимум 0,2</w:t>
            </w:r>
          </w:p>
        </w:tc>
      </w:tr>
      <w:tr w:rsidR="00915CDF" w:rsidRPr="004B7673" w:rsidTr="00915CDF">
        <w:trPr>
          <w:trHeight w:val="3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12. Вміст механічних домішок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відсутні</w:t>
            </w:r>
          </w:p>
        </w:tc>
      </w:tr>
      <w:tr w:rsidR="00915CDF" w:rsidRPr="004B7673" w:rsidTr="00915CDF">
        <w:trPr>
          <w:trHeight w:val="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13. Вміст сірководню, г/м-3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максимум 0,006</w:t>
            </w:r>
          </w:p>
        </w:tc>
      </w:tr>
      <w:tr w:rsidR="00915CDF" w:rsidRPr="004B7673" w:rsidTr="0043190C">
        <w:trPr>
          <w:trHeight w:val="4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14. Вміст </w:t>
            </w:r>
            <w:proofErr w:type="spellStart"/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меркаптанової</w:t>
            </w:r>
            <w:proofErr w:type="spellEnd"/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сірки, г/м-3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максимум 0,02</w:t>
            </w:r>
          </w:p>
        </w:tc>
      </w:tr>
      <w:tr w:rsidR="00915CDF" w:rsidRPr="004B7673" w:rsidTr="0043190C">
        <w:trPr>
          <w:trHeight w:val="4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15. Температура точки роси за вологою °С при абсолютному тиску газу 3,92 </w:t>
            </w:r>
            <w:proofErr w:type="spellStart"/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МПа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 перевищує мінус 8 (-8)</w:t>
            </w:r>
          </w:p>
        </w:tc>
      </w:tr>
      <w:tr w:rsidR="00915CDF" w:rsidRPr="004B7673" w:rsidTr="0043190C">
        <w:trPr>
          <w:trHeight w:val="4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16. Температура точки роси за вуглеводнями при температурі газу не нижче 0 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 перевищує 0°С</w:t>
            </w:r>
          </w:p>
        </w:tc>
      </w:tr>
    </w:tbl>
    <w:p w:rsidR="00915CDF" w:rsidRPr="004B7673" w:rsidRDefault="00915CDF" w:rsidP="00915C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7673">
        <w:rPr>
          <w:rFonts w:ascii="Times New Roman" w:eastAsia="Times New Roman" w:hAnsi="Times New Roman"/>
          <w:color w:val="000000"/>
          <w:sz w:val="20"/>
          <w:szCs w:val="20"/>
        </w:rPr>
        <w:t>Умови постачання товару Замовнику повинні відповідати наступним нормативно-правовим актам:</w:t>
      </w:r>
    </w:p>
    <w:p w:rsidR="00915CDF" w:rsidRPr="004B7673" w:rsidRDefault="00915CDF" w:rsidP="00915CD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  <w:r w:rsidRPr="004B7673">
        <w:rPr>
          <w:rFonts w:ascii="Times New Roman" w:eastAsia="Times New Roman" w:hAnsi="Times New Roman"/>
          <w:color w:val="000000"/>
          <w:sz w:val="20"/>
          <w:szCs w:val="20"/>
        </w:rPr>
        <w:t>Закону України «Про ринок природного газу»;</w:t>
      </w:r>
    </w:p>
    <w:p w:rsidR="00915CDF" w:rsidRPr="004B7673" w:rsidRDefault="00915CDF" w:rsidP="00915CD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  <w:r w:rsidRPr="004B7673">
        <w:rPr>
          <w:rFonts w:ascii="Times New Roman" w:eastAsia="Times New Roman" w:hAnsi="Times New Roman"/>
          <w:color w:val="000000"/>
          <w:sz w:val="20"/>
          <w:szCs w:val="20"/>
        </w:rPr>
        <w:t>Правилам постачання природного газу, затвердженим постановою НКРЕКП від 30.09.2015 № 2496 (зі змінами);</w:t>
      </w:r>
    </w:p>
    <w:p w:rsidR="00915CDF" w:rsidRPr="004B7673" w:rsidRDefault="00915CDF" w:rsidP="00915CD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  <w:r w:rsidRPr="004B7673">
        <w:rPr>
          <w:rFonts w:ascii="Times New Roman" w:eastAsia="Times New Roman" w:hAnsi="Times New Roman"/>
          <w:color w:val="000000"/>
          <w:sz w:val="20"/>
          <w:szCs w:val="20"/>
        </w:rPr>
        <w:t>Кодексу газорозподільних систем, затвердженим Постановою НКРЕКП від 30.09.2015 № 2494 (зі змінами);</w:t>
      </w:r>
    </w:p>
    <w:p w:rsidR="00915CDF" w:rsidRPr="004B7673" w:rsidRDefault="00915CDF" w:rsidP="00915CD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  <w:r w:rsidRPr="004B7673">
        <w:rPr>
          <w:rFonts w:ascii="Times New Roman" w:eastAsia="Times New Roman" w:hAnsi="Times New Roman"/>
          <w:color w:val="000000"/>
          <w:sz w:val="20"/>
          <w:szCs w:val="20"/>
        </w:rPr>
        <w:t>Кодексу газотранспортної системи, затвердженим Постановою НКРЕКП від 30.09.2015 № 2493 (зі змінами);</w:t>
      </w:r>
    </w:p>
    <w:p w:rsidR="00915CDF" w:rsidRPr="004B7673" w:rsidRDefault="00915CDF" w:rsidP="00915CD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  <w:r w:rsidRPr="004B7673">
        <w:rPr>
          <w:rFonts w:ascii="Times New Roman" w:eastAsia="Times New Roman" w:hAnsi="Times New Roman"/>
          <w:color w:val="000000"/>
          <w:sz w:val="20"/>
          <w:szCs w:val="20"/>
        </w:rPr>
        <w:t>іншим чинним нормативно-правовим актам, прийнятим на виконання Закону України «Про ринок природного газу».</w:t>
      </w:r>
    </w:p>
    <w:p w:rsidR="00915CDF" w:rsidRDefault="00915CDF" w:rsidP="00915CDF">
      <w:pPr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4B7673">
        <w:rPr>
          <w:rFonts w:ascii="Times New Roman" w:eastAsia="Times New Roman" w:hAnsi="Times New Roman"/>
          <w:color w:val="000000"/>
          <w:sz w:val="20"/>
          <w:szCs w:val="20"/>
        </w:rPr>
        <w:br/>
      </w:r>
      <w:r w:rsidRPr="005432DA">
        <w:rPr>
          <w:rFonts w:ascii="Times New Roman" w:hAnsi="Times New Roman"/>
          <w:bCs/>
          <w:sz w:val="20"/>
          <w:szCs w:val="20"/>
        </w:rPr>
        <w:t>Місце поставки: м. Миколаїв, проспект Центральний 141-В - код ЕІС 56XS00011</w:t>
      </w:r>
      <w:r w:rsidRPr="005432DA">
        <w:rPr>
          <w:rFonts w:ascii="Times New Roman" w:hAnsi="Times New Roman"/>
          <w:bCs/>
          <w:sz w:val="20"/>
          <w:szCs w:val="20"/>
          <w:lang w:val="en-US"/>
        </w:rPr>
        <w:t>RK</w:t>
      </w:r>
      <w:r w:rsidRPr="005432DA">
        <w:rPr>
          <w:rFonts w:ascii="Times New Roman" w:hAnsi="Times New Roman"/>
          <w:bCs/>
          <w:sz w:val="20"/>
          <w:szCs w:val="20"/>
          <w:lang w:val="ru-RU"/>
        </w:rPr>
        <w:t>0</w:t>
      </w:r>
      <w:r w:rsidRPr="005432DA">
        <w:rPr>
          <w:rFonts w:ascii="Times New Roman" w:hAnsi="Times New Roman"/>
          <w:bCs/>
          <w:sz w:val="20"/>
          <w:szCs w:val="20"/>
          <w:lang w:val="en-US"/>
        </w:rPr>
        <w:t>U</w:t>
      </w:r>
      <w:r w:rsidRPr="005432DA">
        <w:rPr>
          <w:rFonts w:ascii="Times New Roman" w:hAnsi="Times New Roman"/>
          <w:bCs/>
          <w:sz w:val="20"/>
          <w:szCs w:val="20"/>
        </w:rPr>
        <w:t>00</w:t>
      </w:r>
      <w:r w:rsidRPr="005432DA">
        <w:rPr>
          <w:rFonts w:ascii="Times New Roman" w:hAnsi="Times New Roman"/>
          <w:bCs/>
          <w:sz w:val="20"/>
          <w:szCs w:val="20"/>
          <w:lang w:val="ru-RU"/>
        </w:rPr>
        <w:t xml:space="preserve">1 </w:t>
      </w:r>
    </w:p>
    <w:p w:rsidR="00C8648D" w:rsidRPr="00915CDF" w:rsidRDefault="00C8648D" w:rsidP="00915CDF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sectPr w:rsidR="00C8648D" w:rsidRPr="00915CDF" w:rsidSect="00C8648D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72CC5"/>
    <w:multiLevelType w:val="multilevel"/>
    <w:tmpl w:val="5B06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hyphenationZone w:val="425"/>
  <w:characterSpacingControl w:val="doNotCompress"/>
  <w:compat/>
  <w:rsids>
    <w:rsidRoot w:val="00C8648D"/>
    <w:rsid w:val="0015352A"/>
    <w:rsid w:val="001E4C49"/>
    <w:rsid w:val="00263ADA"/>
    <w:rsid w:val="00307771"/>
    <w:rsid w:val="0033189E"/>
    <w:rsid w:val="0043190C"/>
    <w:rsid w:val="0045681D"/>
    <w:rsid w:val="0048054E"/>
    <w:rsid w:val="005419BB"/>
    <w:rsid w:val="005E56DA"/>
    <w:rsid w:val="00712D44"/>
    <w:rsid w:val="00741A08"/>
    <w:rsid w:val="007A6B0F"/>
    <w:rsid w:val="008E0A03"/>
    <w:rsid w:val="00902D12"/>
    <w:rsid w:val="00911764"/>
    <w:rsid w:val="00915CDF"/>
    <w:rsid w:val="009A19ED"/>
    <w:rsid w:val="00A135FB"/>
    <w:rsid w:val="00AB350A"/>
    <w:rsid w:val="00AC6C20"/>
    <w:rsid w:val="00C8648D"/>
    <w:rsid w:val="00CC11B3"/>
    <w:rsid w:val="00CE3743"/>
    <w:rsid w:val="00EA127E"/>
    <w:rsid w:val="00EB2724"/>
    <w:rsid w:val="00EC109F"/>
    <w:rsid w:val="00F40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rsid w:val="00C8648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864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864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8648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8648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C864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8648D"/>
  </w:style>
  <w:style w:type="table" w:customStyle="1" w:styleId="TableNormal">
    <w:name w:val="Table Normal"/>
    <w:rsid w:val="00C864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8648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8648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</w:rPr>
  </w:style>
  <w:style w:type="paragraph" w:styleId="a6">
    <w:name w:val="Subtitle"/>
    <w:basedOn w:val="normal"/>
    <w:next w:val="normal"/>
    <w:rsid w:val="00C864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Normal (Web)"/>
    <w:basedOn w:val="a"/>
    <w:uiPriority w:val="99"/>
    <w:unhideWhenUsed/>
    <w:rsid w:val="006F45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styleId="a8">
    <w:name w:val="No Spacing"/>
    <w:uiPriority w:val="1"/>
    <w:qFormat/>
    <w:rsid w:val="00EC109F"/>
    <w:pPr>
      <w:spacing w:after="0" w:line="240" w:lineRule="auto"/>
    </w:pPr>
    <w:rPr>
      <w:rFonts w:cs="Times New Roman"/>
      <w:lang w:eastAsia="en-US"/>
    </w:rPr>
  </w:style>
  <w:style w:type="character" w:styleId="a9">
    <w:name w:val="FollowedHyperlink"/>
    <w:basedOn w:val="a0"/>
    <w:uiPriority w:val="99"/>
    <w:semiHidden/>
    <w:unhideWhenUsed/>
    <w:rsid w:val="005E56DA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1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5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eex.com.ua/exchange-quotation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Noqd0ACa0eYhasczckvryR2rzA==">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1400-KipnyakOV</cp:lastModifiedBy>
  <cp:revision>6</cp:revision>
  <dcterms:created xsi:type="dcterms:W3CDTF">2024-10-29T15:17:00Z</dcterms:created>
  <dcterms:modified xsi:type="dcterms:W3CDTF">2024-10-29T15:36:00Z</dcterms:modified>
</cp:coreProperties>
</file>