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CB" w:rsidRPr="00063C16" w:rsidRDefault="008218CB" w:rsidP="00A84A76">
      <w:pPr>
        <w:pStyle w:val="a5"/>
        <w:spacing w:before="120" w:beforeAutospacing="0" w:after="120" w:afterAutospacing="0"/>
        <w:jc w:val="center"/>
      </w:pPr>
      <w:bookmarkStart w:id="0" w:name="_GoBack"/>
      <w:bookmarkEnd w:id="0"/>
      <w:r w:rsidRPr="00063C16">
        <w:rPr>
          <w:b/>
          <w:sz w:val="28"/>
          <w:szCs w:val="28"/>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r w:rsidRPr="00063C16">
        <w:t>(відповідно до пункту 4</w:t>
      </w:r>
      <w:r w:rsidRPr="00A312A4">
        <w:rPr>
          <w:vertAlign w:val="superscript"/>
        </w:rPr>
        <w:t>1</w:t>
      </w:r>
      <w:r w:rsidRPr="00063C16">
        <w:t xml:space="preserve"> постанови КМУ від 11.10.2016 № 710 «Про ефективне використання державних коштів» (зі змінами))</w:t>
      </w:r>
    </w:p>
    <w:p w:rsidR="008218CB" w:rsidRPr="00063C16" w:rsidRDefault="008218CB" w:rsidP="000F79AF">
      <w:pPr>
        <w:pStyle w:val="a3"/>
        <w:spacing w:before="0" w:beforeAutospacing="0" w:after="0" w:afterAutospacing="0"/>
        <w:jc w:val="both"/>
        <w:rPr>
          <w:b/>
          <w:sz w:val="28"/>
          <w:szCs w:val="28"/>
        </w:rPr>
      </w:pPr>
      <w:r w:rsidRPr="00063C16">
        <w:rPr>
          <w:b/>
          <w:sz w:val="28"/>
          <w:szCs w:val="28"/>
        </w:rPr>
        <w:t>1.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A84A76" w:rsidRPr="00063C16" w:rsidRDefault="00A84A76" w:rsidP="000F79AF">
      <w:pPr>
        <w:pStyle w:val="a3"/>
        <w:spacing w:before="0" w:beforeAutospacing="0" w:after="0" w:afterAutospacing="0"/>
        <w:jc w:val="both"/>
        <w:rPr>
          <w:sz w:val="28"/>
          <w:szCs w:val="28"/>
        </w:rPr>
      </w:pPr>
      <w:r w:rsidRPr="00063C16">
        <w:rPr>
          <w:bCs/>
          <w:sz w:val="28"/>
          <w:szCs w:val="28"/>
          <w:lang w:eastAsia="ru-RU"/>
        </w:rPr>
        <w:tab/>
      </w:r>
      <w:r w:rsidR="000D0797" w:rsidRPr="000D0797">
        <w:rPr>
          <w:sz w:val="28"/>
          <w:szCs w:val="28"/>
          <w:lang w:eastAsia="ru-RU"/>
        </w:rPr>
        <w:t>«72250000-2 – Послуги пов'язані із системами та підтримкою (Послуги з подовження строку дії технічної та сервісної підтримки програмного забезпечення АСКОД)»</w:t>
      </w:r>
      <w:r w:rsidR="005414C6">
        <w:rPr>
          <w:sz w:val="28"/>
          <w:szCs w:val="28"/>
          <w:lang w:eastAsia="ru-RU"/>
        </w:rPr>
        <w:t>.</w:t>
      </w:r>
    </w:p>
    <w:p w:rsidR="000F79AF" w:rsidRPr="00063C16" w:rsidRDefault="000F79AF" w:rsidP="000F79AF">
      <w:pPr>
        <w:pStyle w:val="a3"/>
        <w:spacing w:before="0" w:beforeAutospacing="0" w:after="0" w:afterAutospacing="0"/>
        <w:jc w:val="both"/>
        <w:rPr>
          <w:sz w:val="28"/>
          <w:szCs w:val="28"/>
        </w:rPr>
      </w:pPr>
    </w:p>
    <w:p w:rsidR="000F79AF" w:rsidRPr="00063C16" w:rsidRDefault="000F79AF" w:rsidP="000F79AF">
      <w:pPr>
        <w:pStyle w:val="a3"/>
        <w:spacing w:before="0" w:beforeAutospacing="0" w:after="0" w:afterAutospacing="0"/>
        <w:jc w:val="both"/>
        <w:rPr>
          <w:b/>
          <w:sz w:val="28"/>
          <w:szCs w:val="28"/>
        </w:rPr>
      </w:pPr>
      <w:r w:rsidRPr="00063C16">
        <w:rPr>
          <w:b/>
          <w:sz w:val="28"/>
          <w:szCs w:val="28"/>
        </w:rPr>
        <w:t>2. Ідентифікатор закупівлі:</w:t>
      </w:r>
    </w:p>
    <w:p w:rsidR="00FF019E" w:rsidRPr="00FF019E" w:rsidRDefault="00176DB7" w:rsidP="00FF019E">
      <w:pPr>
        <w:rPr>
          <w:sz w:val="28"/>
          <w:szCs w:val="28"/>
          <w:lang w:eastAsia="ru-RU"/>
        </w:rPr>
      </w:pPr>
      <w:r w:rsidRPr="00063C16">
        <w:rPr>
          <w:bCs/>
          <w:sz w:val="28"/>
          <w:szCs w:val="28"/>
          <w:lang w:eastAsia="ru-RU"/>
        </w:rPr>
        <w:tab/>
      </w:r>
      <w:r w:rsidR="00FF019E" w:rsidRPr="00FF019E">
        <w:rPr>
          <w:sz w:val="28"/>
          <w:szCs w:val="28"/>
          <w:lang w:eastAsia="ru-RU"/>
        </w:rPr>
        <w:t>UA-2024-10-09-013902-a</w:t>
      </w:r>
    </w:p>
    <w:p w:rsidR="00176DB7" w:rsidRPr="00063C16" w:rsidRDefault="00176DB7" w:rsidP="000F79AF">
      <w:pPr>
        <w:rPr>
          <w:b/>
          <w:sz w:val="28"/>
          <w:szCs w:val="28"/>
        </w:rPr>
      </w:pPr>
    </w:p>
    <w:p w:rsidR="000F79AF" w:rsidRPr="00063C16" w:rsidRDefault="000F79AF" w:rsidP="000F79AF">
      <w:pPr>
        <w:rPr>
          <w:b/>
          <w:sz w:val="28"/>
          <w:szCs w:val="28"/>
        </w:rPr>
      </w:pPr>
      <w:r w:rsidRPr="00063C16">
        <w:rPr>
          <w:b/>
          <w:sz w:val="28"/>
          <w:szCs w:val="28"/>
        </w:rPr>
        <w:t>3. Обґрунтування технічних та якісних характеристик предмета закупівлі:</w:t>
      </w:r>
    </w:p>
    <w:p w:rsidR="000F79AF" w:rsidRPr="00063C16" w:rsidRDefault="000F79AF" w:rsidP="000F79AF">
      <w:pPr>
        <w:pStyle w:val="a3"/>
        <w:spacing w:before="0" w:beforeAutospacing="0" w:after="0" w:afterAutospacing="0"/>
        <w:ind w:firstLine="709"/>
        <w:jc w:val="both"/>
        <w:rPr>
          <w:bCs/>
          <w:sz w:val="28"/>
          <w:szCs w:val="28"/>
          <w:lang w:eastAsia="ru-RU"/>
        </w:rPr>
      </w:pPr>
      <w:r w:rsidRPr="00063C16">
        <w:rPr>
          <w:bCs/>
          <w:sz w:val="28"/>
          <w:szCs w:val="28"/>
          <w:lang w:eastAsia="ru-RU"/>
        </w:rPr>
        <w:t>Метою надання послуг є забезпечення належного функціонування централізованої системи електронного документообігу, побудованої на основі базового ліцензійного програмного забезпечення системи електронного документообігу АСКОД (далі – СЕД).</w:t>
      </w:r>
    </w:p>
    <w:p w:rsidR="005414C6" w:rsidRPr="00FF019E" w:rsidRDefault="005414C6" w:rsidP="005414C6">
      <w:pPr>
        <w:ind w:firstLine="851"/>
        <w:jc w:val="both"/>
        <w:rPr>
          <w:b/>
          <w:sz w:val="28"/>
          <w:szCs w:val="28"/>
        </w:rPr>
      </w:pPr>
      <w:r w:rsidRPr="00FF019E">
        <w:rPr>
          <w:sz w:val="28"/>
          <w:szCs w:val="28"/>
        </w:rPr>
        <w:t>Застосування комп'ютерних інформаційних технологій на всіх рівнях управлінської діяльності та міжвідомчого обміну електронними документами, розвиток, забезпечення функціонування державних органів шляхом використання системи електронного документообігу та Системи електронної взаємодії органів виконавчої влади. Підвищення оперативності та ефективності у вирішенні поставлених перед органами влади задач у розрізі роботи із документами за рахунок прискорення та оптимізації внутрішніх процесів діловодства, посилення виконавської дисципліни та відповідного поточного контролю за нею, зміцнення інформаційно-аналітичної підтримки прийняття управлінських рішень, підвищення відкритості та прозорості діяльності цих органів за рахунок:</w:t>
      </w:r>
    </w:p>
    <w:p w:rsidR="005414C6" w:rsidRPr="00FF019E" w:rsidRDefault="005414C6" w:rsidP="005414C6">
      <w:pPr>
        <w:widowControl w:val="0"/>
        <w:numPr>
          <w:ilvl w:val="0"/>
          <w:numId w:val="2"/>
        </w:numPr>
        <w:tabs>
          <w:tab w:val="left" w:pos="284"/>
          <w:tab w:val="left" w:pos="426"/>
          <w:tab w:val="left" w:pos="1134"/>
        </w:tabs>
        <w:autoSpaceDE w:val="0"/>
        <w:autoSpaceDN w:val="0"/>
        <w:adjustRightInd w:val="0"/>
        <w:ind w:left="0" w:firstLine="851"/>
        <w:jc w:val="both"/>
        <w:rPr>
          <w:rFonts w:eastAsia="Calibri"/>
          <w:sz w:val="28"/>
          <w:szCs w:val="28"/>
        </w:rPr>
      </w:pPr>
      <w:r w:rsidRPr="00FF019E">
        <w:rPr>
          <w:rFonts w:eastAsia="Calibri"/>
          <w:sz w:val="28"/>
          <w:szCs w:val="28"/>
        </w:rPr>
        <w:t>оновлення версії програмного забезпечення;</w:t>
      </w:r>
    </w:p>
    <w:p w:rsidR="005414C6" w:rsidRPr="00FF019E" w:rsidRDefault="005414C6" w:rsidP="005414C6">
      <w:pPr>
        <w:widowControl w:val="0"/>
        <w:numPr>
          <w:ilvl w:val="0"/>
          <w:numId w:val="2"/>
        </w:numPr>
        <w:tabs>
          <w:tab w:val="left" w:pos="284"/>
          <w:tab w:val="left" w:pos="426"/>
          <w:tab w:val="left" w:pos="1134"/>
        </w:tabs>
        <w:autoSpaceDE w:val="0"/>
        <w:autoSpaceDN w:val="0"/>
        <w:adjustRightInd w:val="0"/>
        <w:ind w:left="0" w:firstLine="851"/>
        <w:jc w:val="both"/>
        <w:rPr>
          <w:rFonts w:eastAsia="Calibri"/>
          <w:sz w:val="28"/>
          <w:szCs w:val="28"/>
        </w:rPr>
      </w:pPr>
      <w:r w:rsidRPr="00FF019E">
        <w:rPr>
          <w:rFonts w:eastAsia="Calibri"/>
          <w:sz w:val="28"/>
          <w:szCs w:val="28"/>
        </w:rPr>
        <w:t>мінімізації виникнення нештатних ситуацій у роботі;</w:t>
      </w:r>
    </w:p>
    <w:p w:rsidR="005414C6" w:rsidRPr="00FF019E" w:rsidRDefault="005414C6" w:rsidP="005414C6">
      <w:pPr>
        <w:widowControl w:val="0"/>
        <w:numPr>
          <w:ilvl w:val="0"/>
          <w:numId w:val="2"/>
        </w:numPr>
        <w:tabs>
          <w:tab w:val="left" w:pos="284"/>
          <w:tab w:val="left" w:pos="426"/>
          <w:tab w:val="left" w:pos="1134"/>
        </w:tabs>
        <w:autoSpaceDE w:val="0"/>
        <w:autoSpaceDN w:val="0"/>
        <w:adjustRightInd w:val="0"/>
        <w:ind w:left="0" w:firstLine="851"/>
        <w:jc w:val="both"/>
        <w:rPr>
          <w:rFonts w:eastAsia="Calibri"/>
          <w:sz w:val="28"/>
          <w:szCs w:val="28"/>
        </w:rPr>
      </w:pPr>
      <w:r w:rsidRPr="00FF019E">
        <w:rPr>
          <w:rFonts w:eastAsia="Calibri"/>
          <w:sz w:val="28"/>
          <w:szCs w:val="28"/>
        </w:rPr>
        <w:t>доопрацювання окремих підсистем та модулів;</w:t>
      </w:r>
    </w:p>
    <w:p w:rsidR="005414C6" w:rsidRPr="00FF019E" w:rsidRDefault="005414C6" w:rsidP="005414C6">
      <w:pPr>
        <w:widowControl w:val="0"/>
        <w:numPr>
          <w:ilvl w:val="0"/>
          <w:numId w:val="2"/>
        </w:numPr>
        <w:tabs>
          <w:tab w:val="left" w:pos="284"/>
          <w:tab w:val="left" w:pos="426"/>
          <w:tab w:val="left" w:pos="1134"/>
        </w:tabs>
        <w:autoSpaceDE w:val="0"/>
        <w:autoSpaceDN w:val="0"/>
        <w:adjustRightInd w:val="0"/>
        <w:ind w:left="0" w:firstLine="851"/>
        <w:jc w:val="both"/>
        <w:rPr>
          <w:rFonts w:eastAsia="Calibri"/>
          <w:sz w:val="28"/>
          <w:szCs w:val="28"/>
        </w:rPr>
      </w:pPr>
      <w:r w:rsidRPr="00FF019E">
        <w:rPr>
          <w:rFonts w:eastAsia="Calibri"/>
          <w:sz w:val="28"/>
          <w:szCs w:val="28"/>
        </w:rPr>
        <w:t>технічної підтримки СЕД АСКОД;</w:t>
      </w:r>
    </w:p>
    <w:p w:rsidR="005414C6" w:rsidRPr="00FF019E" w:rsidRDefault="005414C6" w:rsidP="005414C6">
      <w:pPr>
        <w:widowControl w:val="0"/>
        <w:numPr>
          <w:ilvl w:val="0"/>
          <w:numId w:val="2"/>
        </w:numPr>
        <w:tabs>
          <w:tab w:val="left" w:pos="284"/>
          <w:tab w:val="left" w:pos="426"/>
          <w:tab w:val="left" w:pos="1134"/>
        </w:tabs>
        <w:autoSpaceDE w:val="0"/>
        <w:autoSpaceDN w:val="0"/>
        <w:adjustRightInd w:val="0"/>
        <w:ind w:left="0" w:firstLine="851"/>
        <w:jc w:val="both"/>
        <w:rPr>
          <w:rFonts w:eastAsia="Calibri"/>
          <w:sz w:val="28"/>
          <w:szCs w:val="28"/>
        </w:rPr>
      </w:pPr>
      <w:r w:rsidRPr="00FF019E">
        <w:rPr>
          <w:rFonts w:eastAsia="Calibri"/>
          <w:sz w:val="28"/>
          <w:szCs w:val="28"/>
        </w:rPr>
        <w:t>оперативного усунення збоїв в роботі окремих модулів та відхилень від штатної роботи програмного забезпечення;</w:t>
      </w:r>
    </w:p>
    <w:p w:rsidR="005414C6" w:rsidRPr="00FF019E" w:rsidRDefault="005414C6" w:rsidP="005414C6">
      <w:pPr>
        <w:widowControl w:val="0"/>
        <w:numPr>
          <w:ilvl w:val="0"/>
          <w:numId w:val="2"/>
        </w:numPr>
        <w:tabs>
          <w:tab w:val="left" w:pos="284"/>
          <w:tab w:val="left" w:pos="426"/>
          <w:tab w:val="left" w:pos="1134"/>
        </w:tabs>
        <w:autoSpaceDE w:val="0"/>
        <w:autoSpaceDN w:val="0"/>
        <w:adjustRightInd w:val="0"/>
        <w:ind w:left="0" w:firstLine="851"/>
        <w:jc w:val="both"/>
        <w:rPr>
          <w:rFonts w:eastAsia="Calibri"/>
          <w:sz w:val="28"/>
          <w:szCs w:val="28"/>
        </w:rPr>
      </w:pPr>
      <w:r w:rsidRPr="00FF019E">
        <w:rPr>
          <w:rFonts w:eastAsia="Calibri"/>
          <w:sz w:val="28"/>
          <w:szCs w:val="28"/>
        </w:rPr>
        <w:t>відновлення працездатності окремих модулів або всієї системи;</w:t>
      </w:r>
    </w:p>
    <w:p w:rsidR="005414C6" w:rsidRPr="00FF019E" w:rsidRDefault="005414C6" w:rsidP="005414C6">
      <w:pPr>
        <w:widowControl w:val="0"/>
        <w:numPr>
          <w:ilvl w:val="0"/>
          <w:numId w:val="2"/>
        </w:numPr>
        <w:tabs>
          <w:tab w:val="left" w:pos="284"/>
          <w:tab w:val="left" w:pos="426"/>
          <w:tab w:val="left" w:pos="1134"/>
        </w:tabs>
        <w:autoSpaceDE w:val="0"/>
        <w:autoSpaceDN w:val="0"/>
        <w:adjustRightInd w:val="0"/>
        <w:ind w:left="0" w:firstLine="851"/>
        <w:jc w:val="both"/>
        <w:rPr>
          <w:rFonts w:eastAsia="Calibri"/>
          <w:sz w:val="28"/>
          <w:szCs w:val="28"/>
        </w:rPr>
      </w:pPr>
      <w:r w:rsidRPr="00FF019E">
        <w:rPr>
          <w:rFonts w:eastAsia="Calibri"/>
          <w:sz w:val="28"/>
          <w:szCs w:val="28"/>
        </w:rPr>
        <w:t xml:space="preserve">доповнення та/або розширення функціоналу програмної продукції </w:t>
      </w:r>
      <w:r w:rsidRPr="00FF019E">
        <w:rPr>
          <w:rFonts w:eastAsia="Calibri"/>
          <w:szCs w:val="26"/>
        </w:rPr>
        <w:t>СЕД АСКОД</w:t>
      </w:r>
      <w:r w:rsidRPr="00FF019E">
        <w:rPr>
          <w:rFonts w:eastAsia="Calibri"/>
          <w:sz w:val="28"/>
          <w:szCs w:val="28"/>
        </w:rPr>
        <w:t xml:space="preserve"> відповідно до змін законодавства та потреб Казначейства</w:t>
      </w:r>
      <w:r w:rsidRPr="00FF019E">
        <w:rPr>
          <w:rFonts w:eastAsia="Calibri"/>
          <w:sz w:val="28"/>
          <w:szCs w:val="28"/>
          <w:lang w:val="en-US"/>
        </w:rPr>
        <w:t>.</w:t>
      </w:r>
    </w:p>
    <w:p w:rsidR="00380306" w:rsidRPr="00063C16" w:rsidRDefault="00380306" w:rsidP="00380306">
      <w:pPr>
        <w:pStyle w:val="a3"/>
        <w:spacing w:before="0" w:beforeAutospacing="0" w:after="0" w:afterAutospacing="0"/>
        <w:ind w:firstLine="709"/>
        <w:jc w:val="both"/>
        <w:rPr>
          <w:bCs/>
          <w:sz w:val="28"/>
          <w:szCs w:val="28"/>
          <w:lang w:eastAsia="ru-RU"/>
        </w:rPr>
      </w:pPr>
      <w:r w:rsidRPr="00063C16">
        <w:rPr>
          <w:sz w:val="28"/>
          <w:szCs w:val="28"/>
        </w:rPr>
        <w:t>Технічні та якісні характеристики предмета закупівлі обумовлені встановленим у Казначействі програмним забезпеченням, структурою Казначейства та його територіальних органів</w:t>
      </w:r>
      <w:r w:rsidR="00CD78C2">
        <w:rPr>
          <w:sz w:val="28"/>
          <w:szCs w:val="28"/>
        </w:rPr>
        <w:t>.</w:t>
      </w:r>
    </w:p>
    <w:p w:rsidR="000F79AF" w:rsidRDefault="000F79AF" w:rsidP="000F79AF">
      <w:pPr>
        <w:rPr>
          <w:sz w:val="28"/>
          <w:szCs w:val="28"/>
        </w:rPr>
      </w:pPr>
    </w:p>
    <w:p w:rsidR="00FF019E" w:rsidRDefault="00FF019E" w:rsidP="000F79AF">
      <w:pPr>
        <w:rPr>
          <w:sz w:val="28"/>
          <w:szCs w:val="28"/>
        </w:rPr>
      </w:pPr>
    </w:p>
    <w:p w:rsidR="00FF019E" w:rsidRPr="00063C16" w:rsidRDefault="00FF019E" w:rsidP="000F79AF">
      <w:pPr>
        <w:rPr>
          <w:sz w:val="28"/>
          <w:szCs w:val="28"/>
        </w:rPr>
      </w:pPr>
    </w:p>
    <w:p w:rsidR="000F79AF" w:rsidRPr="00063C16" w:rsidRDefault="000F79AF" w:rsidP="000F79AF">
      <w:pPr>
        <w:rPr>
          <w:sz w:val="28"/>
          <w:szCs w:val="28"/>
        </w:rPr>
      </w:pPr>
      <w:r w:rsidRPr="00063C16">
        <w:rPr>
          <w:b/>
          <w:sz w:val="28"/>
          <w:szCs w:val="28"/>
        </w:rPr>
        <w:lastRenderedPageBreak/>
        <w:t>4. Обґрунтування розміру бюджетного призначення:</w:t>
      </w:r>
      <w:r w:rsidRPr="00063C16">
        <w:rPr>
          <w:sz w:val="28"/>
          <w:szCs w:val="28"/>
        </w:rPr>
        <w:t xml:space="preserve"> </w:t>
      </w:r>
    </w:p>
    <w:p w:rsidR="000F79AF" w:rsidRPr="00063C16" w:rsidRDefault="000F79AF" w:rsidP="000F79AF">
      <w:pPr>
        <w:pStyle w:val="a3"/>
        <w:spacing w:before="0" w:beforeAutospacing="0" w:after="0" w:afterAutospacing="0"/>
        <w:ind w:firstLine="709"/>
        <w:jc w:val="both"/>
        <w:rPr>
          <w:bCs/>
          <w:sz w:val="28"/>
          <w:szCs w:val="28"/>
          <w:lang w:eastAsia="ru-RU"/>
        </w:rPr>
      </w:pPr>
      <w:r w:rsidRPr="00063C16">
        <w:rPr>
          <w:bCs/>
          <w:sz w:val="28"/>
          <w:szCs w:val="28"/>
          <w:lang w:eastAsia="ru-RU"/>
        </w:rPr>
        <w:t xml:space="preserve">Розмір бюджетного призначення для предмета закупівлі </w:t>
      </w:r>
      <w:r w:rsidR="005414C6" w:rsidRPr="000D0797">
        <w:rPr>
          <w:sz w:val="28"/>
          <w:szCs w:val="28"/>
          <w:lang w:eastAsia="ru-RU"/>
        </w:rPr>
        <w:t>«72250000-2 – Послуги пов'язані із системами та підтримкою (Послуги з подовження строку дії технічної та сервісної підтримки програмного забезпечення АСКОД)»</w:t>
      </w:r>
      <w:r w:rsidR="005414C6">
        <w:rPr>
          <w:sz w:val="28"/>
          <w:szCs w:val="28"/>
          <w:lang w:eastAsia="ru-RU"/>
        </w:rPr>
        <w:t xml:space="preserve"> </w:t>
      </w:r>
      <w:r w:rsidR="00380306" w:rsidRPr="00063C16">
        <w:rPr>
          <w:sz w:val="28"/>
          <w:szCs w:val="28"/>
          <w:lang w:eastAsia="ru-RU"/>
        </w:rPr>
        <w:t xml:space="preserve"> </w:t>
      </w:r>
      <w:r w:rsidRPr="00063C16">
        <w:rPr>
          <w:bCs/>
          <w:sz w:val="28"/>
          <w:szCs w:val="28"/>
          <w:lang w:eastAsia="ru-RU"/>
        </w:rPr>
        <w:t>відповідає розрахунку видатків до кошторису Казначейства на 202</w:t>
      </w:r>
      <w:r w:rsidR="005414C6">
        <w:rPr>
          <w:bCs/>
          <w:sz w:val="28"/>
          <w:szCs w:val="28"/>
          <w:lang w:eastAsia="ru-RU"/>
        </w:rPr>
        <w:t>4</w:t>
      </w:r>
      <w:r w:rsidRPr="00063C16">
        <w:rPr>
          <w:bCs/>
          <w:sz w:val="28"/>
          <w:szCs w:val="28"/>
          <w:lang w:eastAsia="ru-RU"/>
        </w:rPr>
        <w:t xml:space="preserve"> рік за КПКВК 3504010 «Керівництво та управління у сфері казначейського обслуговування». </w:t>
      </w:r>
    </w:p>
    <w:p w:rsidR="00380306" w:rsidRPr="00063C16" w:rsidRDefault="00380306" w:rsidP="000F79AF">
      <w:pPr>
        <w:rPr>
          <w:sz w:val="28"/>
          <w:szCs w:val="28"/>
        </w:rPr>
      </w:pPr>
    </w:p>
    <w:p w:rsidR="000F79AF" w:rsidRPr="00063C16" w:rsidRDefault="000F79AF" w:rsidP="000F79AF">
      <w:pPr>
        <w:rPr>
          <w:b/>
          <w:sz w:val="28"/>
          <w:szCs w:val="28"/>
        </w:rPr>
      </w:pPr>
      <w:r w:rsidRPr="00063C16">
        <w:rPr>
          <w:b/>
          <w:sz w:val="28"/>
          <w:szCs w:val="28"/>
        </w:rPr>
        <w:t xml:space="preserve">5. Обґрунтування очікуваної вартості предмета закупівлі: </w:t>
      </w:r>
    </w:p>
    <w:p w:rsidR="005414C6" w:rsidRPr="00FF019E" w:rsidRDefault="005414C6" w:rsidP="00FF019E">
      <w:pPr>
        <w:pStyle w:val="a3"/>
        <w:spacing w:before="0" w:beforeAutospacing="0" w:after="0" w:afterAutospacing="0"/>
        <w:ind w:firstLine="709"/>
        <w:jc w:val="both"/>
        <w:rPr>
          <w:bCs/>
          <w:sz w:val="28"/>
          <w:szCs w:val="28"/>
          <w:lang w:eastAsia="ru-RU"/>
        </w:rPr>
      </w:pPr>
      <w:r w:rsidRPr="00FF019E">
        <w:rPr>
          <w:bCs/>
          <w:sz w:val="28"/>
          <w:szCs w:val="28"/>
          <w:lang w:eastAsia="ru-RU"/>
        </w:rPr>
        <w:t>Для проведення процедури закупівлі «72250000-2 – Послуги пов'язані із системами та підтримкою (Послуги з подовження строку дії технічної та сервісної підтримки програмного забезпечення АСКОД)» Департаментом цифрової трансформації та інформаційно-комунікаційних систем (далі – Департамент) з метою здійснення розрахунку очікуваної вартості (далі – ОВ) застосовано положення Методики визначення очікуваної вартості предмета закупівлі під час здійснення публічних закупівель у Державній казначейській службі України, затвердженої наказом Державної казначейської служби України від 28.11.2023 № 300 (далі – Методика) та розробленої на основі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5414C6" w:rsidRPr="00FF019E" w:rsidRDefault="005414C6" w:rsidP="00FF019E">
      <w:pPr>
        <w:pStyle w:val="a3"/>
        <w:spacing w:before="0" w:beforeAutospacing="0" w:after="0" w:afterAutospacing="0"/>
        <w:ind w:firstLine="709"/>
        <w:jc w:val="both"/>
        <w:rPr>
          <w:bCs/>
          <w:sz w:val="28"/>
          <w:szCs w:val="28"/>
          <w:lang w:eastAsia="ru-RU"/>
        </w:rPr>
      </w:pPr>
      <w:r w:rsidRPr="00FF019E">
        <w:rPr>
          <w:bCs/>
          <w:sz w:val="28"/>
          <w:szCs w:val="28"/>
          <w:lang w:eastAsia="ru-RU"/>
        </w:rPr>
        <w:t>Відповідно пункту 2.5 розділу ІІ Методики, спосіб розрахунку очікуваної вартості предмета закупівлі залежить від виду предмета закупівлі, його розповсюдженості на ринку, порядку формування цін на нього</w:t>
      </w:r>
      <w:r w:rsidR="00FF019E">
        <w:rPr>
          <w:bCs/>
          <w:sz w:val="28"/>
          <w:szCs w:val="28"/>
          <w:lang w:eastAsia="ru-RU"/>
        </w:rPr>
        <w:t xml:space="preserve">, що передбачає </w:t>
      </w:r>
      <w:r w:rsidRPr="00FF019E">
        <w:rPr>
          <w:bCs/>
          <w:sz w:val="28"/>
          <w:szCs w:val="28"/>
          <w:lang w:eastAsia="ru-RU"/>
        </w:rPr>
        <w:t>проведено моніторинг</w:t>
      </w:r>
      <w:r w:rsidR="00FF019E">
        <w:rPr>
          <w:bCs/>
          <w:sz w:val="28"/>
          <w:szCs w:val="28"/>
          <w:lang w:eastAsia="ru-RU"/>
        </w:rPr>
        <w:t>у</w:t>
      </w:r>
      <w:r w:rsidRPr="00FF019E">
        <w:rPr>
          <w:bCs/>
          <w:sz w:val="28"/>
          <w:szCs w:val="28"/>
          <w:lang w:eastAsia="ru-RU"/>
        </w:rPr>
        <w:t xml:space="preserve"> інформації та документів, оприлюднених в електронній системі закупівель PROZORRO (далі – ЕСЗ), та стосуються закупівель послуг з технічної та сервісної підтримки, супроводу систем електронного документообігу (далі – СЕД). </w:t>
      </w:r>
    </w:p>
    <w:p w:rsidR="005414C6" w:rsidRPr="00FF019E" w:rsidRDefault="005414C6" w:rsidP="005414C6">
      <w:pPr>
        <w:pStyle w:val="a3"/>
        <w:spacing w:before="0" w:beforeAutospacing="0" w:after="0" w:afterAutospacing="0"/>
        <w:ind w:firstLine="709"/>
        <w:jc w:val="both"/>
        <w:rPr>
          <w:bCs/>
          <w:sz w:val="28"/>
          <w:szCs w:val="28"/>
          <w:lang w:eastAsia="ru-RU"/>
        </w:rPr>
      </w:pPr>
      <w:r w:rsidRPr="00FF019E">
        <w:rPr>
          <w:bCs/>
          <w:sz w:val="28"/>
          <w:szCs w:val="28"/>
          <w:lang w:eastAsia="ru-RU"/>
        </w:rPr>
        <w:t>Так, встановлено, що вартість предмету закупівель з надання технічної та сервісної підтримки СЕД залежить від кількості придбаних ліцензій, модулів СЕД та кількості користувачів. При цьому з оприлюднених в ЕСЗ договорів з надання технічної та сервісної підтримки СЕД не вбачається можливим встановити чіткої залежності між ціною договору та зазначеними критеріями.</w:t>
      </w:r>
    </w:p>
    <w:p w:rsidR="005414C6" w:rsidRPr="00FF019E" w:rsidRDefault="005414C6" w:rsidP="005414C6">
      <w:pPr>
        <w:pStyle w:val="a3"/>
        <w:spacing w:before="0" w:beforeAutospacing="0" w:after="0" w:afterAutospacing="0"/>
        <w:ind w:firstLine="709"/>
        <w:jc w:val="both"/>
        <w:rPr>
          <w:bCs/>
          <w:sz w:val="28"/>
          <w:szCs w:val="28"/>
          <w:lang w:eastAsia="ru-RU"/>
        </w:rPr>
      </w:pPr>
      <w:r w:rsidRPr="00FF019E">
        <w:rPr>
          <w:bCs/>
          <w:sz w:val="28"/>
          <w:szCs w:val="28"/>
          <w:lang w:eastAsia="ru-RU"/>
        </w:rPr>
        <w:t xml:space="preserve">При цьому проблематичним залишається знайти закупівлю, предмет закупівлі якої був би тотожним запланованій Казначейством закупівлі, з огляду на модулі СЕД «АСКОД», що використовуються Казначейством, кількість підключених користувачів та їхню структуру (рівень центрального апарату Казначейства, обласні та районні рівні), а також специфіку модернізації функціональності СЕД. </w:t>
      </w:r>
    </w:p>
    <w:p w:rsidR="005414C6" w:rsidRPr="00FF019E" w:rsidRDefault="005414C6" w:rsidP="00FF019E">
      <w:pPr>
        <w:pStyle w:val="a3"/>
        <w:spacing w:before="0" w:beforeAutospacing="0" w:after="0" w:afterAutospacing="0"/>
        <w:ind w:firstLine="709"/>
        <w:jc w:val="both"/>
        <w:rPr>
          <w:bCs/>
          <w:sz w:val="28"/>
          <w:szCs w:val="28"/>
          <w:lang w:eastAsia="ru-RU"/>
        </w:rPr>
      </w:pPr>
      <w:r w:rsidRPr="00FF019E">
        <w:rPr>
          <w:bCs/>
          <w:sz w:val="28"/>
          <w:szCs w:val="28"/>
          <w:lang w:eastAsia="ru-RU"/>
        </w:rPr>
        <w:t>Департаментом враховано відомості про суми договорів по наступних закупівлях послуг з надання технічної та сервісної підтримки, відомості про які оприлюднено в ЕСЗ:</w:t>
      </w:r>
    </w:p>
    <w:p w:rsidR="005414C6" w:rsidRPr="00FF019E" w:rsidRDefault="005414C6" w:rsidP="00FF019E">
      <w:pPr>
        <w:pStyle w:val="a3"/>
        <w:spacing w:before="0" w:beforeAutospacing="0" w:after="0" w:afterAutospacing="0"/>
        <w:ind w:firstLine="709"/>
        <w:jc w:val="both"/>
        <w:rPr>
          <w:bCs/>
          <w:sz w:val="28"/>
          <w:szCs w:val="28"/>
          <w:lang w:eastAsia="ru-RU"/>
        </w:rPr>
      </w:pPr>
    </w:p>
    <w:p w:rsidR="005414C6" w:rsidRPr="00FF019E" w:rsidRDefault="005414C6" w:rsidP="00FF019E">
      <w:pPr>
        <w:pStyle w:val="a3"/>
        <w:spacing w:before="0" w:beforeAutospacing="0" w:after="0" w:afterAutospacing="0"/>
        <w:ind w:firstLine="709"/>
        <w:jc w:val="both"/>
        <w:rPr>
          <w:bCs/>
          <w:sz w:val="28"/>
          <w:szCs w:val="28"/>
          <w:lang w:eastAsia="ru-RU"/>
        </w:rPr>
      </w:pPr>
      <w:r w:rsidRPr="00FF019E">
        <w:rPr>
          <w:bCs/>
          <w:sz w:val="28"/>
          <w:szCs w:val="28"/>
          <w:lang w:eastAsia="ru-RU"/>
        </w:rPr>
        <w:lastRenderedPageBreak/>
        <w:t>Національний банк України (ідентифікатор закупівлі в ЕСЗ: UA-2023-11-21-0166878-a) Ц4=2 034 000,00 грн. (Супроводження системи електронного документообігу).</w:t>
      </w:r>
    </w:p>
    <w:p w:rsidR="005414C6" w:rsidRPr="00FF019E" w:rsidRDefault="005414C6" w:rsidP="00FF019E">
      <w:pPr>
        <w:pStyle w:val="a3"/>
        <w:spacing w:before="0" w:beforeAutospacing="0" w:after="0" w:afterAutospacing="0"/>
        <w:ind w:firstLine="709"/>
        <w:jc w:val="both"/>
        <w:rPr>
          <w:bCs/>
          <w:sz w:val="28"/>
          <w:szCs w:val="28"/>
          <w:lang w:eastAsia="ru-RU"/>
        </w:rPr>
      </w:pPr>
      <w:r w:rsidRPr="00FF019E">
        <w:rPr>
          <w:bCs/>
          <w:sz w:val="28"/>
          <w:szCs w:val="28"/>
          <w:lang w:eastAsia="ru-RU"/>
        </w:rPr>
        <w:t>Державна організація (установа, заклад) Управління оперативного зв'язку та електронних комунікацій Державної служби України з надзвичайних ситуацій (</w:t>
      </w:r>
      <w:hyperlink r:id="rId8" w:history="1">
        <w:hyperlink r:id="rId9" w:history="1">
          <w:r w:rsidRPr="00FF019E">
            <w:rPr>
              <w:bCs/>
              <w:sz w:val="28"/>
              <w:szCs w:val="28"/>
              <w:lang w:eastAsia="ru-RU"/>
            </w:rPr>
            <w:t>ідентифікатор закупівлі в ЕСЗ:</w:t>
          </w:r>
        </w:hyperlink>
        <w:r w:rsidRPr="00FF019E">
          <w:rPr>
            <w:bCs/>
            <w:sz w:val="28"/>
            <w:szCs w:val="28"/>
            <w:lang w:eastAsia="ru-RU"/>
          </w:rPr>
          <w:t xml:space="preserve"> UA-2024-05-10-009224-a </w:t>
        </w:r>
      </w:hyperlink>
      <w:r w:rsidRPr="00FF019E">
        <w:rPr>
          <w:bCs/>
          <w:sz w:val="28"/>
          <w:szCs w:val="28"/>
          <w:lang w:eastAsia="ru-RU"/>
        </w:rPr>
        <w:t>) Ц2=2 490 000,00 грн. (Послуги з технічної підтримки програмного забезпечення АСКОД у складі системи електронного документообігу ДСНС);</w:t>
      </w:r>
    </w:p>
    <w:p w:rsidR="005414C6" w:rsidRPr="00FF019E" w:rsidRDefault="005414C6" w:rsidP="00FF019E">
      <w:pPr>
        <w:pStyle w:val="a3"/>
        <w:spacing w:before="0" w:beforeAutospacing="0" w:after="0" w:afterAutospacing="0"/>
        <w:ind w:firstLine="709"/>
        <w:jc w:val="both"/>
        <w:rPr>
          <w:bCs/>
          <w:sz w:val="28"/>
          <w:szCs w:val="28"/>
          <w:lang w:eastAsia="ru-RU"/>
        </w:rPr>
      </w:pPr>
      <w:r w:rsidRPr="00FF019E">
        <w:rPr>
          <w:bCs/>
          <w:sz w:val="28"/>
          <w:szCs w:val="28"/>
          <w:lang w:eastAsia="ru-RU"/>
        </w:rPr>
        <w:t>Комунальне підприємство «Головний інформаційно-обчислювальний центр» (</w:t>
      </w:r>
      <w:hyperlink r:id="rId10" w:history="1">
        <w:r w:rsidRPr="00FF019E">
          <w:rPr>
            <w:bCs/>
            <w:sz w:val="28"/>
            <w:szCs w:val="28"/>
            <w:lang w:eastAsia="ru-RU"/>
          </w:rPr>
          <w:t>ідентифікатор закупівлі в ЕСЗ:</w:t>
        </w:r>
      </w:hyperlink>
      <w:r w:rsidRPr="00FF019E">
        <w:rPr>
          <w:bCs/>
          <w:sz w:val="28"/>
          <w:szCs w:val="28"/>
          <w:lang w:eastAsia="ru-RU"/>
        </w:rPr>
        <w:t xml:space="preserve"> UA-2023-05-02-006994-a ) Ц3=2 799 000,00 грн. (Послуги із супроводу інформаційно-телекомунікаційної системи «Єдиний інформаційний простір територіальної громади міста Києва»).</w:t>
      </w:r>
    </w:p>
    <w:p w:rsidR="005414C6" w:rsidRPr="00FF019E" w:rsidRDefault="005414C6" w:rsidP="005414C6">
      <w:pPr>
        <w:pStyle w:val="a3"/>
        <w:spacing w:before="0" w:beforeAutospacing="0" w:after="0" w:afterAutospacing="0"/>
        <w:ind w:firstLine="709"/>
        <w:jc w:val="both"/>
        <w:rPr>
          <w:bCs/>
          <w:sz w:val="28"/>
          <w:szCs w:val="28"/>
          <w:lang w:eastAsia="ru-RU"/>
        </w:rPr>
      </w:pPr>
      <w:r w:rsidRPr="00FF019E">
        <w:rPr>
          <w:bCs/>
          <w:sz w:val="28"/>
          <w:szCs w:val="28"/>
          <w:lang w:eastAsia="ru-RU"/>
        </w:rPr>
        <w:t>За результатами аналізу інформації по трьом вищезазначеним закупівлям Очікувана вартість предмета закупівлі (далі – ОВ) щодо технічної та сервісної підтримки становить:</w:t>
      </w:r>
    </w:p>
    <w:p w:rsidR="005414C6" w:rsidRPr="00FF019E" w:rsidRDefault="005414C6" w:rsidP="00FF019E">
      <w:pPr>
        <w:pStyle w:val="a3"/>
        <w:spacing w:before="0" w:beforeAutospacing="0" w:after="0" w:afterAutospacing="0"/>
        <w:ind w:firstLine="709"/>
        <w:jc w:val="both"/>
        <w:rPr>
          <w:bCs/>
          <w:sz w:val="28"/>
          <w:szCs w:val="28"/>
          <w:lang w:eastAsia="ru-RU"/>
        </w:rPr>
      </w:pPr>
      <w:r w:rsidRPr="00FF019E">
        <w:rPr>
          <w:bCs/>
          <w:sz w:val="28"/>
          <w:szCs w:val="28"/>
          <w:lang w:eastAsia="ru-RU"/>
        </w:rPr>
        <w:t>ОВ = (Ц1+Ц2+Ц3)/3 = (2 034 000,00 + 2 490 000,00 + 2 799 000,00)/3 = 2 441 000,00 грн.</w:t>
      </w:r>
    </w:p>
    <w:p w:rsidR="005414C6" w:rsidRPr="00FF019E" w:rsidRDefault="005414C6" w:rsidP="005414C6">
      <w:pPr>
        <w:pStyle w:val="a3"/>
        <w:spacing w:before="0" w:beforeAutospacing="0" w:after="0" w:afterAutospacing="0"/>
        <w:ind w:firstLine="709"/>
        <w:jc w:val="both"/>
        <w:rPr>
          <w:bCs/>
          <w:sz w:val="28"/>
          <w:szCs w:val="28"/>
          <w:lang w:eastAsia="ru-RU"/>
        </w:rPr>
      </w:pPr>
      <w:r w:rsidRPr="00FF019E">
        <w:rPr>
          <w:bCs/>
          <w:sz w:val="28"/>
          <w:szCs w:val="28"/>
          <w:lang w:eastAsia="ru-RU"/>
        </w:rPr>
        <w:t>Як зазначалось вище, є проблематичним знайти закупівлю, предмет закупівлі якої був би тотожним запланованій Казначейством закупівлі.</w:t>
      </w:r>
    </w:p>
    <w:p w:rsidR="005414C6" w:rsidRPr="00FF019E" w:rsidRDefault="005414C6" w:rsidP="00FF019E">
      <w:pPr>
        <w:pStyle w:val="a3"/>
        <w:spacing w:before="0" w:beforeAutospacing="0" w:after="0" w:afterAutospacing="0"/>
        <w:ind w:firstLine="709"/>
        <w:jc w:val="both"/>
        <w:rPr>
          <w:bCs/>
          <w:sz w:val="28"/>
          <w:szCs w:val="28"/>
          <w:lang w:eastAsia="ru-RU"/>
        </w:rPr>
      </w:pPr>
      <w:r w:rsidRPr="00FF019E">
        <w:rPr>
          <w:bCs/>
          <w:sz w:val="28"/>
          <w:szCs w:val="28"/>
          <w:lang w:eastAsia="ru-RU"/>
        </w:rPr>
        <w:t xml:space="preserve">АТ «ІнфоПлюс» враховуючи плідну співпрацю та довготривалі відносини, а також зважаючи на важку ситуацію в Україні через військову агресію російської федерації надано цінову пропозицію Казначейству на послуги «72250000-2 – Послуги пов'язані із системами та підтримкою (Послуги з подовження строку дії технічної та сервісної підтримки програмного забезпечення АСКОД»)» </w:t>
      </w:r>
      <w:r w:rsidR="000A4A36" w:rsidRPr="00FF019E">
        <w:rPr>
          <w:bCs/>
          <w:sz w:val="28"/>
          <w:szCs w:val="28"/>
          <w:lang w:eastAsia="ru-RU"/>
        </w:rPr>
        <w:t>у</w:t>
      </w:r>
      <w:r w:rsidRPr="00FF019E">
        <w:rPr>
          <w:bCs/>
          <w:sz w:val="28"/>
          <w:szCs w:val="28"/>
          <w:lang w:eastAsia="ru-RU"/>
        </w:rPr>
        <w:t xml:space="preserve"> розмір</w:t>
      </w:r>
      <w:r w:rsidR="000A4A36" w:rsidRPr="00FF019E">
        <w:rPr>
          <w:bCs/>
          <w:sz w:val="28"/>
          <w:szCs w:val="28"/>
          <w:lang w:eastAsia="ru-RU"/>
        </w:rPr>
        <w:t>і</w:t>
      </w:r>
      <w:r w:rsidRPr="00FF019E">
        <w:rPr>
          <w:bCs/>
          <w:sz w:val="28"/>
          <w:szCs w:val="28"/>
          <w:lang w:eastAsia="ru-RU"/>
        </w:rPr>
        <w:t xml:space="preserve"> 1 062 000,00  грн з ПДВ.</w:t>
      </w:r>
    </w:p>
    <w:p w:rsidR="005414C6" w:rsidRPr="00FF019E" w:rsidRDefault="005414C6" w:rsidP="00FF019E">
      <w:pPr>
        <w:pStyle w:val="a3"/>
        <w:spacing w:before="0" w:beforeAutospacing="0" w:after="0" w:afterAutospacing="0"/>
        <w:ind w:firstLine="709"/>
        <w:jc w:val="both"/>
        <w:rPr>
          <w:bCs/>
          <w:sz w:val="28"/>
          <w:szCs w:val="28"/>
          <w:lang w:eastAsia="ru-RU"/>
        </w:rPr>
      </w:pPr>
      <w:r w:rsidRPr="00FF019E">
        <w:rPr>
          <w:bCs/>
          <w:sz w:val="28"/>
          <w:szCs w:val="28"/>
          <w:lang w:eastAsia="ru-RU"/>
        </w:rPr>
        <w:t>Враховуючи вищезазначене, очікувана вартість предмета закупівлі становить 1 062 000,00  грн.</w:t>
      </w:r>
    </w:p>
    <w:p w:rsidR="005414C6" w:rsidRPr="00FF019E" w:rsidRDefault="005414C6" w:rsidP="00FF019E">
      <w:pPr>
        <w:pStyle w:val="a3"/>
        <w:spacing w:before="0" w:beforeAutospacing="0" w:after="0" w:afterAutospacing="0"/>
        <w:ind w:firstLine="709"/>
        <w:jc w:val="both"/>
        <w:rPr>
          <w:bCs/>
          <w:sz w:val="28"/>
          <w:szCs w:val="28"/>
          <w:lang w:eastAsia="ru-RU"/>
        </w:rPr>
      </w:pPr>
    </w:p>
    <w:p w:rsidR="005414C6" w:rsidRDefault="005414C6" w:rsidP="00CD78C2">
      <w:pPr>
        <w:pStyle w:val="a3"/>
        <w:spacing w:before="0" w:beforeAutospacing="0" w:after="0" w:afterAutospacing="0"/>
        <w:ind w:firstLine="709"/>
        <w:jc w:val="both"/>
        <w:rPr>
          <w:sz w:val="28"/>
          <w:szCs w:val="28"/>
          <w:lang w:eastAsia="ru-RU"/>
        </w:rPr>
      </w:pPr>
    </w:p>
    <w:sectPr w:rsidR="005414C6" w:rsidSect="00584742">
      <w:headerReference w:type="default" r:id="rId1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D32" w:rsidRDefault="00E67D32" w:rsidP="00584742">
      <w:r>
        <w:separator/>
      </w:r>
    </w:p>
  </w:endnote>
  <w:endnote w:type="continuationSeparator" w:id="0">
    <w:p w:rsidR="00E67D32" w:rsidRDefault="00E67D32" w:rsidP="005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D32" w:rsidRDefault="00E67D32" w:rsidP="00584742">
      <w:r>
        <w:separator/>
      </w:r>
    </w:p>
  </w:footnote>
  <w:footnote w:type="continuationSeparator" w:id="0">
    <w:p w:rsidR="00E67D32" w:rsidRDefault="00E67D32" w:rsidP="00584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006002"/>
      <w:docPartObj>
        <w:docPartGallery w:val="Page Numbers (Top of Page)"/>
        <w:docPartUnique/>
      </w:docPartObj>
    </w:sdtPr>
    <w:sdtEndPr/>
    <w:sdtContent>
      <w:p w:rsidR="00584742" w:rsidRDefault="001B10CB">
        <w:pPr>
          <w:pStyle w:val="a4"/>
          <w:jc w:val="center"/>
        </w:pPr>
        <w:r>
          <w:fldChar w:fldCharType="begin"/>
        </w:r>
        <w:r w:rsidR="00584742">
          <w:instrText>PAGE   \* MERGEFORMAT</w:instrText>
        </w:r>
        <w:r>
          <w:fldChar w:fldCharType="separate"/>
        </w:r>
        <w:r w:rsidR="00332CA8">
          <w:rPr>
            <w:noProof/>
          </w:rPr>
          <w:t>3</w:t>
        </w:r>
        <w:r>
          <w:fldChar w:fldCharType="end"/>
        </w:r>
      </w:p>
    </w:sdtContent>
  </w:sdt>
  <w:p w:rsidR="00584742" w:rsidRDefault="0058474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90CF9"/>
    <w:multiLevelType w:val="hybridMultilevel"/>
    <w:tmpl w:val="44E8D464"/>
    <w:lvl w:ilvl="0" w:tplc="BA04CFAC">
      <w:start w:val="1"/>
      <w:numFmt w:val="decimal"/>
      <w:lvlText w:val="%1)"/>
      <w:lvlJc w:val="left"/>
      <w:pPr>
        <w:ind w:left="360" w:hanging="360"/>
      </w:pPr>
      <w:rPr>
        <w:b/>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0D8442DA"/>
    <w:multiLevelType w:val="hybridMultilevel"/>
    <w:tmpl w:val="CEF0619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D005307"/>
    <w:multiLevelType w:val="hybridMultilevel"/>
    <w:tmpl w:val="2F565D4C"/>
    <w:lvl w:ilvl="0" w:tplc="58481760">
      <w:numFmt w:val="bullet"/>
      <w:lvlText w:val="-"/>
      <w:lvlJc w:val="left"/>
      <w:pPr>
        <w:ind w:left="1414" w:hanging="705"/>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294213B0"/>
    <w:multiLevelType w:val="hybridMultilevel"/>
    <w:tmpl w:val="44E8D464"/>
    <w:lvl w:ilvl="0" w:tplc="BA04CFAC">
      <w:start w:val="1"/>
      <w:numFmt w:val="decimal"/>
      <w:lvlText w:val="%1)"/>
      <w:lvlJc w:val="left"/>
      <w:pPr>
        <w:ind w:left="360" w:hanging="360"/>
      </w:pPr>
      <w:rPr>
        <w:b/>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15:restartNumberingAfterBreak="0">
    <w:nsid w:val="322A3217"/>
    <w:multiLevelType w:val="hybridMultilevel"/>
    <w:tmpl w:val="44E8D464"/>
    <w:lvl w:ilvl="0" w:tplc="BA04CFAC">
      <w:start w:val="1"/>
      <w:numFmt w:val="decimal"/>
      <w:lvlText w:val="%1)"/>
      <w:lvlJc w:val="left"/>
      <w:pPr>
        <w:ind w:left="360" w:hanging="360"/>
      </w:pPr>
      <w:rPr>
        <w:b/>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3ED4110F"/>
    <w:multiLevelType w:val="hybridMultilevel"/>
    <w:tmpl w:val="2C484A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427C4755"/>
    <w:multiLevelType w:val="hybridMultilevel"/>
    <w:tmpl w:val="CEF0619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49E6479B"/>
    <w:multiLevelType w:val="hybridMultilevel"/>
    <w:tmpl w:val="660417B4"/>
    <w:lvl w:ilvl="0" w:tplc="DC0E83AC">
      <w:start w:val="1"/>
      <w:numFmt w:val="decimal"/>
      <w:lvlText w:val="%1."/>
      <w:lvlJc w:val="left"/>
      <w:pPr>
        <w:tabs>
          <w:tab w:val="num" w:pos="0"/>
        </w:tabs>
        <w:ind w:left="0" w:firstLine="0"/>
      </w:pPr>
      <w:rPr>
        <w:rFonts w:hint="default"/>
        <w:b/>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8" w15:restartNumberingAfterBreak="0">
    <w:nsid w:val="4CA21A2B"/>
    <w:multiLevelType w:val="hybridMultilevel"/>
    <w:tmpl w:val="26F6366E"/>
    <w:lvl w:ilvl="0" w:tplc="6B6C90BC">
      <w:start w:val="5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90D067A"/>
    <w:multiLevelType w:val="hybridMultilevel"/>
    <w:tmpl w:val="5A6A2B84"/>
    <w:lvl w:ilvl="0" w:tplc="73A29C64">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69757E09"/>
    <w:multiLevelType w:val="hybridMultilevel"/>
    <w:tmpl w:val="CEF0619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7"/>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3"/>
  </w:num>
  <w:num w:numId="7">
    <w:abstractNumId w:val="4"/>
  </w:num>
  <w:num w:numId="8">
    <w:abstractNumId w:val="2"/>
  </w:num>
  <w:num w:numId="9">
    <w:abstractNumId w:val="8"/>
  </w:num>
  <w:num w:numId="10">
    <w:abstractNumId w:val="5"/>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24"/>
    <w:rsid w:val="00017710"/>
    <w:rsid w:val="00021652"/>
    <w:rsid w:val="00027315"/>
    <w:rsid w:val="000520FD"/>
    <w:rsid w:val="00063C16"/>
    <w:rsid w:val="00074121"/>
    <w:rsid w:val="000A4A36"/>
    <w:rsid w:val="000A56BF"/>
    <w:rsid w:val="000B5B68"/>
    <w:rsid w:val="000D0797"/>
    <w:rsid w:val="000F79AF"/>
    <w:rsid w:val="00107758"/>
    <w:rsid w:val="00122BD5"/>
    <w:rsid w:val="0013391E"/>
    <w:rsid w:val="001513DC"/>
    <w:rsid w:val="00176DB7"/>
    <w:rsid w:val="001B10CB"/>
    <w:rsid w:val="001C4987"/>
    <w:rsid w:val="00236731"/>
    <w:rsid w:val="00241659"/>
    <w:rsid w:val="00310C40"/>
    <w:rsid w:val="00325B24"/>
    <w:rsid w:val="00332CA8"/>
    <w:rsid w:val="0036493F"/>
    <w:rsid w:val="00380306"/>
    <w:rsid w:val="003B3636"/>
    <w:rsid w:val="003B5E92"/>
    <w:rsid w:val="00430A20"/>
    <w:rsid w:val="004434E3"/>
    <w:rsid w:val="004507E8"/>
    <w:rsid w:val="004A0B09"/>
    <w:rsid w:val="004A73D2"/>
    <w:rsid w:val="004F4002"/>
    <w:rsid w:val="005414C6"/>
    <w:rsid w:val="00544178"/>
    <w:rsid w:val="00584742"/>
    <w:rsid w:val="005B4C20"/>
    <w:rsid w:val="005E5AC0"/>
    <w:rsid w:val="00601307"/>
    <w:rsid w:val="00602463"/>
    <w:rsid w:val="00655FA8"/>
    <w:rsid w:val="00663884"/>
    <w:rsid w:val="00691969"/>
    <w:rsid w:val="006968D2"/>
    <w:rsid w:val="006A44EB"/>
    <w:rsid w:val="0077483B"/>
    <w:rsid w:val="00803782"/>
    <w:rsid w:val="008218CB"/>
    <w:rsid w:val="008272A6"/>
    <w:rsid w:val="00832A47"/>
    <w:rsid w:val="0088433F"/>
    <w:rsid w:val="00923EB9"/>
    <w:rsid w:val="009D714A"/>
    <w:rsid w:val="00A23ED9"/>
    <w:rsid w:val="00A312A4"/>
    <w:rsid w:val="00A51A23"/>
    <w:rsid w:val="00A759BC"/>
    <w:rsid w:val="00A84A76"/>
    <w:rsid w:val="00AA0F28"/>
    <w:rsid w:val="00AA478D"/>
    <w:rsid w:val="00AB7269"/>
    <w:rsid w:val="00AC4469"/>
    <w:rsid w:val="00AD2B75"/>
    <w:rsid w:val="00AE1A3E"/>
    <w:rsid w:val="00B32AB5"/>
    <w:rsid w:val="00B6674C"/>
    <w:rsid w:val="00BA646B"/>
    <w:rsid w:val="00BF07A4"/>
    <w:rsid w:val="00C50E97"/>
    <w:rsid w:val="00C953A5"/>
    <w:rsid w:val="00CD78C2"/>
    <w:rsid w:val="00CE1916"/>
    <w:rsid w:val="00CF5011"/>
    <w:rsid w:val="00D53A9B"/>
    <w:rsid w:val="00D74C7D"/>
    <w:rsid w:val="00DC0BBE"/>
    <w:rsid w:val="00DC5EA4"/>
    <w:rsid w:val="00DD0586"/>
    <w:rsid w:val="00DD63B7"/>
    <w:rsid w:val="00DE7D3F"/>
    <w:rsid w:val="00E50A80"/>
    <w:rsid w:val="00E67D32"/>
    <w:rsid w:val="00EC53D9"/>
    <w:rsid w:val="00ED3C7B"/>
    <w:rsid w:val="00EF6419"/>
    <w:rsid w:val="00F51F74"/>
    <w:rsid w:val="00F91595"/>
    <w:rsid w:val="00F9194F"/>
    <w:rsid w:val="00FB05D5"/>
    <w:rsid w:val="00FB484D"/>
    <w:rsid w:val="00FD5781"/>
    <w:rsid w:val="00FE3467"/>
    <w:rsid w:val="00FE6E03"/>
    <w:rsid w:val="00FF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BC51E-D877-4055-8DF4-585C2DBB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B24"/>
    <w:pPr>
      <w:spacing w:after="0" w:line="240" w:lineRule="auto"/>
    </w:pPr>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
    <w:name w:val="a5"/>
    <w:basedOn w:val="a"/>
    <w:rsid w:val="00325B24"/>
    <w:pPr>
      <w:spacing w:before="100" w:beforeAutospacing="1" w:after="100" w:afterAutospacing="1"/>
    </w:pPr>
  </w:style>
  <w:style w:type="paragraph" w:customStyle="1" w:styleId="a3">
    <w:name w:val="a"/>
    <w:basedOn w:val="a"/>
    <w:rsid w:val="00325B24"/>
    <w:pPr>
      <w:spacing w:before="100" w:beforeAutospacing="1" w:after="100" w:afterAutospacing="1"/>
    </w:pPr>
  </w:style>
  <w:style w:type="character" w:customStyle="1" w:styleId="12">
    <w:name w:val="ОТ_Дог_12 Знак"/>
    <w:link w:val="120"/>
    <w:locked/>
    <w:rsid w:val="00325B24"/>
    <w:rPr>
      <w:sz w:val="24"/>
      <w:szCs w:val="24"/>
      <w:lang w:eastAsia="ru-RU"/>
    </w:rPr>
  </w:style>
  <w:style w:type="paragraph" w:customStyle="1" w:styleId="120">
    <w:name w:val="ОТ_Дог_12"/>
    <w:basedOn w:val="a"/>
    <w:link w:val="12"/>
    <w:rsid w:val="00325B24"/>
    <w:pPr>
      <w:widowControl w:val="0"/>
      <w:autoSpaceDE w:val="0"/>
      <w:autoSpaceDN w:val="0"/>
      <w:adjustRightInd w:val="0"/>
      <w:ind w:firstLine="567"/>
      <w:jc w:val="both"/>
    </w:pPr>
    <w:rPr>
      <w:rFonts w:eastAsiaTheme="minorHAnsi"/>
      <w:lang w:eastAsia="ru-RU"/>
    </w:rPr>
  </w:style>
  <w:style w:type="paragraph" w:styleId="a4">
    <w:name w:val="header"/>
    <w:basedOn w:val="a"/>
    <w:link w:val="a6"/>
    <w:uiPriority w:val="99"/>
    <w:unhideWhenUsed/>
    <w:rsid w:val="00584742"/>
    <w:pPr>
      <w:tabs>
        <w:tab w:val="center" w:pos="4844"/>
        <w:tab w:val="right" w:pos="9689"/>
      </w:tabs>
    </w:pPr>
  </w:style>
  <w:style w:type="character" w:customStyle="1" w:styleId="a6">
    <w:name w:val="Верхній колонтитул Знак"/>
    <w:basedOn w:val="a0"/>
    <w:link w:val="a4"/>
    <w:uiPriority w:val="99"/>
    <w:rsid w:val="00584742"/>
    <w:rPr>
      <w:rFonts w:eastAsia="Times New Roman"/>
      <w:sz w:val="24"/>
      <w:szCs w:val="24"/>
      <w:lang w:eastAsia="uk-UA"/>
    </w:rPr>
  </w:style>
  <w:style w:type="paragraph" w:styleId="a7">
    <w:name w:val="footer"/>
    <w:basedOn w:val="a"/>
    <w:link w:val="a8"/>
    <w:uiPriority w:val="99"/>
    <w:unhideWhenUsed/>
    <w:rsid w:val="00584742"/>
    <w:pPr>
      <w:tabs>
        <w:tab w:val="center" w:pos="4844"/>
        <w:tab w:val="right" w:pos="9689"/>
      </w:tabs>
    </w:pPr>
  </w:style>
  <w:style w:type="character" w:customStyle="1" w:styleId="a8">
    <w:name w:val="Нижній колонтитул Знак"/>
    <w:basedOn w:val="a0"/>
    <w:link w:val="a7"/>
    <w:uiPriority w:val="99"/>
    <w:rsid w:val="00584742"/>
    <w:rPr>
      <w:rFonts w:eastAsia="Times New Roman"/>
      <w:sz w:val="24"/>
      <w:szCs w:val="24"/>
      <w:lang w:eastAsia="uk-UA"/>
    </w:rPr>
  </w:style>
  <w:style w:type="character" w:styleId="a9">
    <w:name w:val="Hyperlink"/>
    <w:rsid w:val="00A84A76"/>
    <w:rPr>
      <w:color w:val="0000FF"/>
      <w:u w:val="single"/>
    </w:rPr>
  </w:style>
  <w:style w:type="table" w:styleId="aa">
    <w:name w:val="Table Grid"/>
    <w:basedOn w:val="a1"/>
    <w:uiPriority w:val="39"/>
    <w:rsid w:val="00602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Elenco Normale"/>
    <w:basedOn w:val="a"/>
    <w:link w:val="ac"/>
    <w:uiPriority w:val="34"/>
    <w:qFormat/>
    <w:rsid w:val="008218CB"/>
    <w:pPr>
      <w:ind w:left="720"/>
      <w:contextualSpacing/>
    </w:pPr>
  </w:style>
  <w:style w:type="character" w:customStyle="1" w:styleId="ac">
    <w:name w:val="Абзац списку Знак"/>
    <w:aliases w:val="Elenco Normale Знак"/>
    <w:link w:val="ab"/>
    <w:uiPriority w:val="34"/>
    <w:locked/>
    <w:rsid w:val="00380306"/>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958717">
      <w:bodyDiv w:val="1"/>
      <w:marLeft w:val="0"/>
      <w:marRight w:val="0"/>
      <w:marTop w:val="0"/>
      <w:marBottom w:val="0"/>
      <w:divBdr>
        <w:top w:val="none" w:sz="0" w:space="0" w:color="auto"/>
        <w:left w:val="none" w:sz="0" w:space="0" w:color="auto"/>
        <w:bottom w:val="none" w:sz="0" w:space="0" w:color="auto"/>
        <w:right w:val="none" w:sz="0" w:space="0" w:color="auto"/>
      </w:divBdr>
    </w:div>
    <w:div w:id="1798600573">
      <w:bodyDiv w:val="1"/>
      <w:marLeft w:val="0"/>
      <w:marRight w:val="0"/>
      <w:marTop w:val="0"/>
      <w:marBottom w:val="0"/>
      <w:divBdr>
        <w:top w:val="none" w:sz="0" w:space="0" w:color="auto"/>
        <w:left w:val="none" w:sz="0" w:space="0" w:color="auto"/>
        <w:bottom w:val="none" w:sz="0" w:space="0" w:color="auto"/>
        <w:right w:val="none" w:sz="0" w:space="0" w:color="auto"/>
      </w:divBdr>
    </w:div>
    <w:div w:id="21170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19-12-12-001764-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ozorro.gov.ua/tender/UA-2019-12-12-001764-b" TargetMode="External"/><Relationship Id="rId4" Type="http://schemas.openxmlformats.org/officeDocument/2006/relationships/settings" Target="settings.xml"/><Relationship Id="rId9" Type="http://schemas.openxmlformats.org/officeDocument/2006/relationships/hyperlink" Target="https://prozorro.gov.ua/tender/UA-2019-12-12-00176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DC73-E125-4287-B8C1-70C3361C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4444</Words>
  <Characters>2534</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Турчинська Марина Олександрівна</cp:lastModifiedBy>
  <cp:revision>2</cp:revision>
  <dcterms:created xsi:type="dcterms:W3CDTF">2024-10-14T11:57:00Z</dcterms:created>
  <dcterms:modified xsi:type="dcterms:W3CDTF">2024-10-14T11:57:00Z</dcterms:modified>
</cp:coreProperties>
</file>