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4269" w:rsidRDefault="00847E27">
      <w:pPr>
        <w:jc w:val="right"/>
        <w:rPr>
          <w:color w:val="FFFFFF" w:themeColor="background1"/>
        </w:rPr>
      </w:pPr>
      <w:r w:rsidRPr="00E24269">
        <w:rPr>
          <w:rFonts w:ascii="Times New Roman" w:hAnsi="Times New Roman"/>
          <w:b/>
          <w:color w:val="FFFFFF" w:themeColor="background1"/>
          <w:sz w:val="26"/>
          <w:szCs w:val="26"/>
          <w:lang w:eastAsia="uk-UA"/>
        </w:rPr>
        <w:t>Додаток</w:t>
      </w:r>
      <w:r w:rsidRPr="00E24269">
        <w:rPr>
          <w:rFonts w:ascii="Times New Roman" w:hAnsi="Times New Roman"/>
          <w:b/>
          <w:color w:val="FFFFFF" w:themeColor="background1"/>
          <w:sz w:val="26"/>
          <w:szCs w:val="26"/>
          <w:lang w:eastAsia="uk-UA"/>
        </w:rPr>
        <w:t xml:space="preserve"> 1</w:t>
      </w:r>
    </w:p>
    <w:p w:rsidR="00000000" w:rsidRDefault="00847E27">
      <w:pPr>
        <w:jc w:val="center"/>
        <w:rPr>
          <w:rFonts w:ascii="Times New Roman" w:hAnsi="Times New Roman"/>
          <w:b/>
          <w:sz w:val="26"/>
          <w:szCs w:val="26"/>
        </w:rPr>
      </w:pPr>
    </w:p>
    <w:p w:rsidR="00000000" w:rsidRDefault="00847E27">
      <w:pPr>
        <w:jc w:val="center"/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Обґрунтування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технічних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</w:rPr>
        <w:t>якісних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розміру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очікуваної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вартості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6"/>
          <w:szCs w:val="26"/>
        </w:rPr>
        <w:t>предмету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закупі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вл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і</w:t>
      </w:r>
    </w:p>
    <w:p w:rsidR="00000000" w:rsidRDefault="00847E27">
      <w:pPr>
        <w:jc w:val="center"/>
        <w:rPr>
          <w:rFonts w:ascii="Times New Roman" w:hAnsi="Times New Roman"/>
          <w:sz w:val="26"/>
          <w:szCs w:val="26"/>
        </w:rPr>
      </w:pP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1. </w:t>
      </w:r>
      <w:r>
        <w:rPr>
          <w:rFonts w:ascii="Times New Roman" w:hAnsi="Times New Roman"/>
          <w:b/>
          <w:sz w:val="26"/>
          <w:szCs w:val="26"/>
        </w:rPr>
        <w:t>Найменування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місцезнаходження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ідентифікаційний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замовника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державному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реєстрі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юридичних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фізичних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підприємців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громадських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формувань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Головне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управління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казначейської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служби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Кіровоградській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37918230; 25002,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область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Кропивницький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просп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Винниченка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атегорія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орган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влади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000000" w:rsidRDefault="00847E27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847E27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із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зазначенням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закупівельним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словником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разі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поділу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такі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відомості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повинні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зазначатися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стосовно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кожного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лота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відповідних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класифікаторів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частини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лотів</w:t>
      </w:r>
      <w:r>
        <w:rPr>
          <w:rFonts w:ascii="Times New Roman" w:hAnsi="Times New Roman"/>
          <w:b/>
          <w:sz w:val="26"/>
          <w:szCs w:val="26"/>
        </w:rPr>
        <w:t>) (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наявності</w:t>
      </w:r>
      <w:r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п</w:t>
      </w:r>
      <w:r w:rsidRPr="00E24269">
        <w:rPr>
          <w:rStyle w:val="FontStyle12"/>
          <w:rFonts w:cs="Times New Roman"/>
          <w:color w:val="000000"/>
          <w:szCs w:val="26"/>
          <w:lang w:bidi="ar-SA"/>
        </w:rPr>
        <w:t>ослуги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цілодобової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фізичної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охорони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адміністративного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приміщення</w:t>
      </w:r>
      <w:r w:rsidRPr="00E24269">
        <w:rPr>
          <w:rStyle w:val="FontStyle12"/>
          <w:rFonts w:cs="Times New Roman"/>
          <w:color w:val="000000"/>
          <w:szCs w:val="26"/>
          <w:lang w:bidi="ar-SA"/>
        </w:rPr>
        <w:t xml:space="preserve"> (</w:t>
      </w:r>
      <w:r>
        <w:rPr>
          <w:rStyle w:val="FontStyle12"/>
          <w:rFonts w:cs="Times New Roman"/>
          <w:color w:val="000000"/>
          <w:szCs w:val="26"/>
          <w:lang w:bidi="ar-SA"/>
        </w:rPr>
        <w:t>код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за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Cs w:val="26"/>
          <w:lang w:bidi="ar-SA"/>
        </w:rPr>
        <w:t>ДК</w:t>
      </w:r>
      <w:proofErr w:type="spellEnd"/>
      <w:r>
        <w:rPr>
          <w:rStyle w:val="FontStyle12"/>
          <w:rFonts w:cs="Times New Roman"/>
          <w:color w:val="000000"/>
          <w:szCs w:val="26"/>
          <w:lang w:bidi="ar-SA"/>
        </w:rPr>
        <w:t xml:space="preserve"> 021:2015 79710000-4 </w:t>
      </w:r>
      <w:proofErr w:type="spellStart"/>
      <w:r>
        <w:rPr>
          <w:rStyle w:val="FontStyle12"/>
          <w:rFonts w:cs="Times New Roman"/>
          <w:color w:val="000000"/>
          <w:szCs w:val="26"/>
          <w:lang w:bidi="ar-SA"/>
        </w:rPr>
        <w:t>“Охоронні</w:t>
      </w:r>
      <w:proofErr w:type="spellEnd"/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Cs w:val="26"/>
          <w:lang w:bidi="ar-SA"/>
        </w:rPr>
        <w:t>послуги”</w:t>
      </w:r>
      <w:proofErr w:type="spellEnd"/>
      <w:r w:rsidRPr="00E24269">
        <w:rPr>
          <w:rStyle w:val="FontStyle12"/>
          <w:rFonts w:cs="Times New Roman"/>
          <w:color w:val="000000"/>
          <w:szCs w:val="26"/>
          <w:lang w:bidi="ar-SA"/>
        </w:rPr>
        <w:t>)</w:t>
      </w:r>
    </w:p>
    <w:p w:rsidR="00000000" w:rsidRDefault="00847E27">
      <w:pPr>
        <w:spacing w:after="200"/>
        <w:ind w:hanging="16"/>
        <w:contextualSpacing/>
        <w:jc w:val="both"/>
      </w:pP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b/>
          <w:color w:val="000000"/>
          <w:szCs w:val="26"/>
          <w:lang w:bidi="ar-SA"/>
        </w:rPr>
        <w:t xml:space="preserve">2.1. </w:t>
      </w:r>
      <w:r>
        <w:rPr>
          <w:rStyle w:val="FontStyle12"/>
          <w:b/>
          <w:color w:val="000000"/>
          <w:szCs w:val="26"/>
          <w:lang w:bidi="ar-SA"/>
        </w:rPr>
        <w:t>Номенклатурна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позиція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за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найбільш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підходящим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кодом</w:t>
      </w:r>
      <w:r>
        <w:rPr>
          <w:rStyle w:val="FontStyle12"/>
          <w:b/>
          <w:color w:val="000000"/>
          <w:szCs w:val="26"/>
          <w:lang w:bidi="ar-SA"/>
        </w:rPr>
        <w:t>:</w:t>
      </w:r>
      <w:r>
        <w:rPr>
          <w:rStyle w:val="FontStyle12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7971</w:t>
      </w:r>
      <w:r w:rsidRPr="00E24269">
        <w:rPr>
          <w:rStyle w:val="FontStyle12"/>
          <w:rFonts w:cs="Times New Roman"/>
          <w:color w:val="000000"/>
          <w:szCs w:val="26"/>
          <w:lang w:val="ru-RU" w:bidi="ar-SA"/>
        </w:rPr>
        <w:t xml:space="preserve">3000-5 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Cs w:val="26"/>
          <w:lang w:bidi="ar-SA"/>
        </w:rPr>
        <w:t>“Послуги</w:t>
      </w:r>
      <w:proofErr w:type="spellEnd"/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з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охоро</w:t>
      </w:r>
      <w:r>
        <w:rPr>
          <w:rStyle w:val="FontStyle12"/>
          <w:rFonts w:cs="Times New Roman"/>
          <w:color w:val="000000"/>
          <w:szCs w:val="26"/>
          <w:lang w:bidi="ar-SA"/>
        </w:rPr>
        <w:t>ни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об’єктів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та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bidi="ar-SA"/>
        </w:rPr>
        <w:t>особистої</w:t>
      </w:r>
      <w:r>
        <w:rPr>
          <w:rStyle w:val="FontStyle12"/>
          <w:rFonts w:cs="Times New Roman"/>
          <w:color w:val="000000"/>
          <w:szCs w:val="26"/>
          <w:lang w:bidi="ar-SA"/>
        </w:rPr>
        <w:t xml:space="preserve"> </w:t>
      </w:r>
      <w:proofErr w:type="spellStart"/>
      <w:r>
        <w:rPr>
          <w:rStyle w:val="FontStyle12"/>
          <w:rFonts w:cs="Times New Roman"/>
          <w:color w:val="000000"/>
          <w:szCs w:val="26"/>
          <w:lang w:bidi="ar-SA"/>
        </w:rPr>
        <w:t>охорони”</w:t>
      </w:r>
      <w:proofErr w:type="spellEnd"/>
      <w:r w:rsidRPr="00E24269">
        <w:rPr>
          <w:rStyle w:val="FontStyle12"/>
          <w:rFonts w:cs="Times New Roman"/>
          <w:color w:val="000000"/>
          <w:szCs w:val="26"/>
          <w:lang w:val="ru-RU" w:bidi="ar-SA"/>
        </w:rPr>
        <w:t>.</w:t>
      </w: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b/>
          <w:sz w:val="26"/>
          <w:szCs w:val="26"/>
        </w:rPr>
        <w:t>Ідентифікатор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UA-202</w:t>
      </w:r>
      <w:r w:rsidRPr="00E24269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</w:rPr>
        <w:t>-1</w:t>
      </w:r>
      <w:r w:rsidRPr="00E24269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>-3</w:t>
      </w:r>
      <w:r w:rsidRPr="00E24269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</w:rPr>
        <w:t>-0</w:t>
      </w:r>
      <w:r w:rsidRPr="00E24269">
        <w:rPr>
          <w:rFonts w:ascii="Times New Roman" w:hAnsi="Times New Roman"/>
          <w:sz w:val="26"/>
          <w:szCs w:val="26"/>
          <w:lang w:val="ru-RU"/>
        </w:rPr>
        <w:t>13634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a</w:t>
      </w:r>
      <w:r w:rsidRPr="00E24269">
        <w:rPr>
          <w:rFonts w:ascii="Times New Roman" w:hAnsi="Times New Roman"/>
          <w:sz w:val="26"/>
          <w:szCs w:val="26"/>
          <w:lang w:val="ru-RU"/>
        </w:rPr>
        <w:t>.</w:t>
      </w: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4.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технічних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якісних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характеристик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Технічні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характеристики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об’єкту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цілодобової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фізичної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охорони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адміністр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ативного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  <w:lang w:eastAsia="uk-UA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Державної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казначейської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Кіровоградській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E242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цілодобово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тобто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розрахунок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урахуванням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всіх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період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01 </w:t>
      </w:r>
      <w:r>
        <w:rPr>
          <w:rFonts w:ascii="Times New Roman" w:hAnsi="Times New Roman" w:cs="Times New Roman"/>
          <w:sz w:val="26"/>
          <w:szCs w:val="26"/>
        </w:rPr>
        <w:t>січня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E2426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31 </w:t>
      </w:r>
      <w:r>
        <w:rPr>
          <w:rFonts w:ascii="Times New Roman" w:hAnsi="Times New Roman" w:cs="Times New Roman"/>
          <w:sz w:val="26"/>
          <w:szCs w:val="26"/>
        </w:rPr>
        <w:t>грудня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E2426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року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включаючи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святкові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вихідні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адресою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роспект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Винниченка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Кропивницький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Україна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25002. </w:t>
      </w:r>
      <w:r>
        <w:rPr>
          <w:rFonts w:ascii="Times New Roman" w:hAnsi="Times New Roman" w:cs="Times New Roman"/>
          <w:sz w:val="26"/>
          <w:szCs w:val="26"/>
        </w:rPr>
        <w:t>Окрема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будівля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</w:rPr>
        <w:t xml:space="preserve">  2511,2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три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горищем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підвалами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розміщена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ділянці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</w:rPr>
        <w:t xml:space="preserve"> 2232,14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вікна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першого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заґратовані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Периметр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території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обстежується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відеонагляду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протипожежною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15 % </w:t>
      </w:r>
      <w:r>
        <w:rPr>
          <w:rFonts w:ascii="Times New Roman" w:hAnsi="Times New Roman" w:cs="Times New Roman"/>
          <w:sz w:val="26"/>
          <w:szCs w:val="26"/>
        </w:rPr>
        <w:t>приміщень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встановлена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кнопка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тривожного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вик</w:t>
      </w:r>
      <w:r>
        <w:rPr>
          <w:rFonts w:ascii="Times New Roman" w:hAnsi="Times New Roman" w:cs="Times New Roman"/>
          <w:sz w:val="26"/>
          <w:szCs w:val="26"/>
        </w:rPr>
        <w:t>лику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приймально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контрольний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Ajax</w:t>
      </w:r>
      <w:r w:rsidRPr="00E242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Hub</w:t>
      </w:r>
      <w:r w:rsidRPr="00E24269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00000" w:rsidRDefault="00847E27">
      <w:pPr>
        <w:spacing w:line="240" w:lineRule="atLeas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Прохід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здійснюється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турнікет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0000" w:rsidRDefault="00847E27">
      <w:pPr>
        <w:tabs>
          <w:tab w:val="left" w:pos="739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Вимоги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щодо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надання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передбачає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спрямованих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шляхом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прибудинковою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територією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монітор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підключені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камери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вході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ринку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Охорона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майновою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відповідальністю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організації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взятий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</w:t>
      </w:r>
      <w:r>
        <w:rPr>
          <w:rFonts w:ascii="Times New Roman" w:hAnsi="Times New Roman" w:cs="Times New Roman"/>
          <w:sz w:val="26"/>
          <w:szCs w:val="26"/>
          <w:highlight w:val="white"/>
        </w:rPr>
        <w:t>єкт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об’ємі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обладнання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</w:t>
      </w:r>
      <w:r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базу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виконання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основних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умов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предмету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закупівлі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документи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власності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або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найму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оренди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ру</w:t>
      </w:r>
      <w:r>
        <w:rPr>
          <w:rFonts w:ascii="Times New Roman" w:hAnsi="Times New Roman" w:cs="Times New Roman"/>
          <w:sz w:val="26"/>
          <w:szCs w:val="26"/>
          <w:highlight w:val="white"/>
        </w:rPr>
        <w:t>хомого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транспортні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засоби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легкові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автомобілі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потреби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випадок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надзвичайної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події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штатної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мобільної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оперативного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реагування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підсилення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фізич</w:t>
      </w:r>
      <w:r>
        <w:rPr>
          <w:rFonts w:ascii="Times New Roman" w:hAnsi="Times New Roman" w:cs="Times New Roman"/>
          <w:sz w:val="26"/>
          <w:szCs w:val="26"/>
          <w:highlight w:val="white"/>
        </w:rPr>
        <w:t>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підтримання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належного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громадського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території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об’єкту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пульта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спостереження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станом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кнопки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тривожного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виклику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її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обслуговування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</w:t>
      </w:r>
      <w:r>
        <w:rPr>
          <w:rFonts w:ascii="Times New Roman" w:hAnsi="Times New Roman" w:cs="Times New Roman"/>
          <w:sz w:val="26"/>
          <w:szCs w:val="26"/>
          <w:highlight w:val="white"/>
        </w:rPr>
        <w:t>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підставі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провадження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Працівники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Учасника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визначені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повноваження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застосування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функцій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правопорушників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847E2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самостійно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одержує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необхідні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дозволи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сертифікати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встановленого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зразка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згідно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разі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якщо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це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пропонується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Весь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персонал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задіяний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вимогам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Кабінету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18.11.2015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960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Ліцензійних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провадження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діяльності»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22.03.2012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4616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</w:t>
      </w:r>
      <w:r w:rsidRPr="00E242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діяльність»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зобов’язаний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забезпечити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: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своїх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індивідуального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товарно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цінностей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несанкціонованого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встановлених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безпеки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спрацювання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сприяння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ліквідації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організовувати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третіми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чергової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Міністерства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поруш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цілісності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крадіжки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грабежу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розбою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підпалу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прибуття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вищезазначених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Виконавець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недоторканість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використання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телефонних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мереж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експлуа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технічної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документаціїї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обов’язків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охоронцем</w:t>
      </w:r>
      <w:r w:rsidRPr="00E242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оперативне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мобільних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протиправної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набрали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великих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розмірів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підсилення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належного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847E2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ab/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Вимоги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847E27">
      <w:pPr>
        <w:tabs>
          <w:tab w:val="left" w:pos="900"/>
        </w:tabs>
        <w:suppressAutoHyphens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квал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іфікованими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сфері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років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мати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представницький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зовнішній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вигляд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Перевага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віддається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пройшли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лавах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Збройних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інших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військових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формуваннях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потенційну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небезпеку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уникнути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екстремальних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швидко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піддаватися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паніці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аналізувати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миттєво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спостережливість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наполегливість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здатність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тривалого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високої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Добре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розвинена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довготривала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'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зовнішність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людей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навколишнє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оточення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наочно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мислення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здібність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відтворення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зорового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словесним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описом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навичок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гасіння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847E27">
      <w:pPr>
        <w:spacing w:line="240" w:lineRule="atLeast"/>
        <w:jc w:val="both"/>
      </w:pPr>
      <w:bookmarkStart w:id="0" w:name="1362"/>
      <w:bookmarkEnd w:id="0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Обов’язки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чергового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вдягнутим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емблемою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собі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необхідні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посвідчують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посвідченнями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07:00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святкових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здіснюється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погодженням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неробочий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аказом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bookmarkStart w:id="1" w:name="1364"/>
      <w:bookmarkEnd w:id="1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клієнтів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розпорядком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тільки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обідню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перерву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припинений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завершення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закінчення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робочого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дорожнім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листком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накладною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дозволено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зволяти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bookmarkStart w:id="2" w:name="1378"/>
      <w:bookmarkEnd w:id="2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утримувати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обладнання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оформлення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нього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сумніви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постійно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контрольно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bookmarkStart w:id="3" w:name="1366"/>
      <w:bookmarkEnd w:id="3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машин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повідомити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найближчі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джерела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водопостачання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847E27">
      <w:pPr>
        <w:spacing w:line="240" w:lineRule="atLeast"/>
        <w:jc w:val="both"/>
      </w:pPr>
      <w:bookmarkStart w:id="4" w:name="1368"/>
      <w:bookmarkStart w:id="5" w:name="1367"/>
      <w:bookmarkEnd w:id="4"/>
      <w:bookmarkEnd w:id="5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08.00,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кожні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метою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зачинення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дверей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847E27">
      <w:pPr>
        <w:spacing w:line="240" w:lineRule="atLeast"/>
        <w:ind w:left="720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знаходяться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впливом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алкоголю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наркотичних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4352"/>
        <w:gridCol w:w="1723"/>
        <w:gridCol w:w="1412"/>
        <w:gridCol w:w="1780"/>
      </w:tblGrid>
      <w:tr w:rsidR="0000000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47E2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47E2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об’єкта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47E27">
            <w:pPr>
              <w:widowControl w:val="0"/>
              <w:spacing w:line="24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цілодобового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47E27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постів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47E2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000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47E2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47E2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казначейської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Кіровоградській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знаходиться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Винниченка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Кропивницький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Україна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25002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47E27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</w:rPr>
              <w:t>8760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47E27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847E27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</w:rPr>
              <w:t>8760</w:t>
            </w:r>
          </w:p>
        </w:tc>
      </w:tr>
    </w:tbl>
    <w:p w:rsidR="00000000" w:rsidRDefault="00847E27">
      <w:pPr>
        <w:widowControl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Примітки</w:t>
      </w:r>
    </w:p>
    <w:p w:rsidR="00000000" w:rsidRDefault="00847E27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*01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січня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—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грудня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</w:t>
      </w:r>
      <w:r w:rsidRPr="00E2426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року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365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календарних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днів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24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години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0000" w:rsidRDefault="00847E27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847E2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5.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очікуван</w:t>
      </w:r>
      <w:r>
        <w:rPr>
          <w:rFonts w:ascii="Times New Roman" w:hAnsi="Times New Roman"/>
          <w:b/>
          <w:sz w:val="26"/>
          <w:szCs w:val="26"/>
        </w:rPr>
        <w:t>ої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вартості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00000" w:rsidRDefault="00847E2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Міністерства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розвитку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економіки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торгівлі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сільського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господарства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18.02.2020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275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примірної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закупівлі”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</w:t>
      </w:r>
      <w:r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24.09.2020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148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області”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методом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= V * </w:t>
      </w:r>
      <w:proofErr w:type="spellStart"/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еріодів</w:t>
      </w:r>
      <w:r>
        <w:rPr>
          <w:rFonts w:ascii="Times New Roman" w:hAnsi="Times New Roman"/>
          <w:sz w:val="26"/>
          <w:szCs w:val="26"/>
        </w:rPr>
        <w:t xml:space="preserve">; V - </w:t>
      </w:r>
      <w:r>
        <w:rPr>
          <w:rFonts w:ascii="Times New Roman" w:hAnsi="Times New Roman"/>
          <w:sz w:val="26"/>
          <w:szCs w:val="26"/>
        </w:rPr>
        <w:t>обсяг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товарів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що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закуповується</w:t>
      </w:r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proofErr w:type="spellEnd"/>
      <w:r>
        <w:rPr>
          <w:rFonts w:ascii="Times New Roman" w:hAnsi="Times New Roman"/>
          <w:sz w:val="26"/>
          <w:szCs w:val="26"/>
        </w:rPr>
        <w:t xml:space="preserve">. - </w:t>
      </w:r>
      <w:r>
        <w:rPr>
          <w:rFonts w:ascii="Times New Roman" w:hAnsi="Times New Roman"/>
          <w:sz w:val="26"/>
          <w:szCs w:val="26"/>
        </w:rPr>
        <w:t>ціна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періоду</w:t>
      </w:r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ki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коефіцієнт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індексації</w:t>
      </w:r>
      <w:r>
        <w:rPr>
          <w:rFonts w:ascii="Times New Roman" w:hAnsi="Times New Roman"/>
          <w:sz w:val="26"/>
          <w:szCs w:val="26"/>
        </w:rPr>
        <w:t>).</w:t>
      </w:r>
    </w:p>
    <w:p w:rsidR="00000000" w:rsidRDefault="00847E2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31.08.2022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51-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35,00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Коефіцієнт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інфляції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серпень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вересень</w:t>
      </w:r>
      <w:r>
        <w:rPr>
          <w:rFonts w:ascii="Times New Roman" w:hAnsi="Times New Roman"/>
          <w:sz w:val="26"/>
          <w:szCs w:val="26"/>
        </w:rPr>
        <w:t xml:space="preserve"> 2022 </w:t>
      </w:r>
      <w:r>
        <w:rPr>
          <w:rFonts w:ascii="Times New Roman" w:hAnsi="Times New Roman"/>
          <w:sz w:val="26"/>
          <w:szCs w:val="26"/>
        </w:rPr>
        <w:t>склав</w:t>
      </w:r>
      <w:r>
        <w:rPr>
          <w:rFonts w:ascii="Times New Roman" w:hAnsi="Times New Roman"/>
          <w:sz w:val="26"/>
          <w:szCs w:val="26"/>
        </w:rPr>
        <w:t xml:space="preserve"> 1,03. </w:t>
      </w:r>
      <w:r>
        <w:rPr>
          <w:rFonts w:ascii="Times New Roman" w:hAnsi="Times New Roman"/>
          <w:sz w:val="26"/>
          <w:szCs w:val="26"/>
        </w:rPr>
        <w:t>Таким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чином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розрахункова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35,00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*1,03 = 36,00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47E27" w:rsidRDefault="00847E2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>тягом</w:t>
      </w:r>
      <w:r>
        <w:rPr>
          <w:rFonts w:ascii="Times New Roman" w:hAnsi="Times New Roman"/>
          <w:sz w:val="26"/>
          <w:szCs w:val="26"/>
        </w:rPr>
        <w:t xml:space="preserve"> 2023 </w:t>
      </w:r>
      <w:r>
        <w:rPr>
          <w:rFonts w:ascii="Times New Roman" w:hAnsi="Times New Roman"/>
          <w:sz w:val="26"/>
          <w:szCs w:val="26"/>
        </w:rPr>
        <w:t>року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здійснюватися</w:t>
      </w:r>
      <w:r>
        <w:rPr>
          <w:rFonts w:ascii="Times New Roman" w:hAnsi="Times New Roman"/>
          <w:sz w:val="26"/>
          <w:szCs w:val="26"/>
        </w:rPr>
        <w:t xml:space="preserve"> 8760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становить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= 8760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 * 35,00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 *1,03 = 315 798,00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Триста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п’ятнадцять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тисяч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сімсот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дев’яносто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вісім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00 </w:t>
      </w:r>
      <w:proofErr w:type="spellStart"/>
      <w:r>
        <w:rPr>
          <w:rFonts w:ascii="Times New Roman" w:hAnsi="Times New Roman"/>
          <w:sz w:val="26"/>
          <w:szCs w:val="26"/>
        </w:rPr>
        <w:t>коп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sectPr w:rsidR="00847E27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27" w:rsidRDefault="00847E27">
      <w:r>
        <w:separator/>
      </w:r>
    </w:p>
  </w:endnote>
  <w:endnote w:type="continuationSeparator" w:id="0">
    <w:p w:rsidR="00847E27" w:rsidRDefault="0084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27" w:rsidRDefault="00847E27">
      <w:r>
        <w:rPr>
          <w:rFonts w:eastAsiaTheme="minorEastAsia" w:cstheme="minorBidi"/>
          <w:kern w:val="0"/>
          <w:lang w:val="ru-RU" w:bidi="ar-SA"/>
        </w:rPr>
        <w:separator/>
      </w:r>
    </w:p>
  </w:footnote>
  <w:footnote w:type="continuationSeparator" w:id="0">
    <w:p w:rsidR="00847E27" w:rsidRDefault="0084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A3"/>
    <w:rsid w:val="002E67A3"/>
    <w:rsid w:val="00847E27"/>
    <w:rsid w:val="00E2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eastAsia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eastAsia="Times New Roman" w:hAnsi="Times New Roman"/>
      <w:color w:val="000000"/>
      <w:kern w:val="1"/>
      <w:sz w:val="22"/>
      <w:shd w:val="clear" w:color="auto" w:fill="FFFFFF"/>
      <w:lang w:val="uk-UA"/>
    </w:rPr>
  </w:style>
  <w:style w:type="character" w:customStyle="1" w:styleId="ListLabel1">
    <w:name w:val="ListLabel 1"/>
    <w:uiPriority w:val="99"/>
    <w:rPr>
      <w:rFonts w:ascii="Times New Roman" w:eastAsia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4</cp:revision>
  <dcterms:created xsi:type="dcterms:W3CDTF">2022-12-06T08:08:00Z</dcterms:created>
  <dcterms:modified xsi:type="dcterms:W3CDTF">2022-12-06T08:08:00Z</dcterms:modified>
</cp:coreProperties>
</file>