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FB" w:rsidRPr="00CC4CE3" w:rsidRDefault="000B1F80" w:rsidP="00595B53">
      <w:pPr>
        <w:spacing w:after="0" w:line="240" w:lineRule="auto"/>
        <w:jc w:val="center"/>
        <w:rPr>
          <w:rFonts w:ascii="Times New Roman" w:hAnsi="Times New Roman"/>
          <w:b/>
          <w:sz w:val="24"/>
          <w:szCs w:val="24"/>
          <w:lang w:val="ru-RU"/>
        </w:rPr>
      </w:pPr>
      <w:r w:rsidRPr="00204038">
        <w:rPr>
          <w:rFonts w:ascii="Times New Roman" w:hAnsi="Times New Roman"/>
          <w:b/>
          <w:sz w:val="24"/>
          <w:szCs w:val="24"/>
        </w:rPr>
        <w:t xml:space="preserve">Обґрунтування </w:t>
      </w:r>
    </w:p>
    <w:p w:rsidR="00C819C9" w:rsidRPr="00204038" w:rsidRDefault="000B1F80" w:rsidP="00595B53">
      <w:pPr>
        <w:spacing w:after="0" w:line="240" w:lineRule="auto"/>
        <w:jc w:val="center"/>
        <w:rPr>
          <w:rFonts w:ascii="Times New Roman" w:hAnsi="Times New Roman"/>
          <w:b/>
          <w:sz w:val="24"/>
          <w:szCs w:val="24"/>
        </w:rPr>
      </w:pPr>
      <w:r w:rsidRPr="00204038">
        <w:rPr>
          <w:rFonts w:ascii="Times New Roman" w:hAnsi="Times New Roman"/>
          <w:b/>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595B53">
      <w:pPr>
        <w:spacing w:after="120" w:line="240" w:lineRule="auto"/>
        <w:contextualSpacing/>
        <w:jc w:val="center"/>
        <w:rPr>
          <w:rFonts w:ascii="Times New Roman" w:hAnsi="Times New Roman" w:cs="Times New Roman"/>
          <w:sz w:val="24"/>
          <w:szCs w:val="24"/>
        </w:rPr>
      </w:pPr>
      <w:r w:rsidRPr="00204038">
        <w:rPr>
          <w:rFonts w:ascii="Times New Roman" w:hAnsi="Times New Roman" w:cs="Times New Roman"/>
          <w:sz w:val="24"/>
          <w:szCs w:val="24"/>
        </w:rPr>
        <w:t>(відповідно до пункту 4</w:t>
      </w:r>
      <w:r w:rsidRPr="00204038">
        <w:rPr>
          <w:rFonts w:ascii="Times New Roman" w:hAnsi="Times New Roman" w:cs="Times New Roman"/>
          <w:sz w:val="24"/>
          <w:szCs w:val="24"/>
          <w:vertAlign w:val="superscript"/>
        </w:rPr>
        <w:t xml:space="preserve">1 </w:t>
      </w:r>
      <w:r w:rsidRPr="00204038">
        <w:rPr>
          <w:rFonts w:ascii="Times New Roman" w:hAnsi="Times New Roman" w:cs="Times New Roman"/>
          <w:sz w:val="24"/>
          <w:szCs w:val="24"/>
        </w:rPr>
        <w:t xml:space="preserve">постанови КМУ від 11.10.2016 № 710 </w:t>
      </w:r>
      <w:r w:rsidR="00966C3D" w:rsidRPr="00966C3D">
        <w:rPr>
          <w:rFonts w:ascii="Times New Roman" w:hAnsi="Times New Roman" w:cs="Times New Roman"/>
          <w:sz w:val="24"/>
          <w:szCs w:val="24"/>
          <w:lang w:val="ru-RU"/>
        </w:rPr>
        <w:t xml:space="preserve">                               </w:t>
      </w:r>
      <w:r w:rsidRPr="00204038">
        <w:rPr>
          <w:rFonts w:ascii="Times New Roman" w:hAnsi="Times New Roman" w:cs="Times New Roman"/>
          <w:sz w:val="24"/>
          <w:szCs w:val="24"/>
        </w:rPr>
        <w:t>«Про ефективне використання державних коштів» (зі змінами))</w:t>
      </w:r>
    </w:p>
    <w:p w:rsidR="00F050A8" w:rsidRPr="00F050A8" w:rsidRDefault="000B1F80" w:rsidP="000B1F80">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F050A8" w:rsidRPr="002C2F57" w:rsidRDefault="000B1F80" w:rsidP="00F050A8">
      <w:pPr>
        <w:pStyle w:val="a3"/>
        <w:tabs>
          <w:tab w:val="left" w:pos="851"/>
        </w:tabs>
        <w:spacing w:after="0" w:line="240" w:lineRule="auto"/>
        <w:ind w:left="425"/>
        <w:contextualSpacing w:val="0"/>
        <w:jc w:val="both"/>
        <w:rPr>
          <w:rFonts w:ascii="Times New Roman" w:eastAsia="Times New Roman" w:hAnsi="Times New Roman"/>
          <w:sz w:val="24"/>
          <w:szCs w:val="24"/>
          <w:lang w:val="ru-RU" w:eastAsia="ru-RU"/>
        </w:rPr>
      </w:pPr>
      <w:r w:rsidRPr="00204038">
        <w:rPr>
          <w:rFonts w:ascii="Times New Roman" w:eastAsia="Times New Roman" w:hAnsi="Times New Roman"/>
          <w:sz w:val="24"/>
          <w:szCs w:val="24"/>
          <w:lang w:eastAsia="ru-RU"/>
        </w:rPr>
        <w:t>Державна казначейська служба України;</w:t>
      </w:r>
      <w:r w:rsidR="00F050A8" w:rsidRPr="002C2F57">
        <w:rPr>
          <w:rFonts w:ascii="Times New Roman" w:eastAsia="Times New Roman" w:hAnsi="Times New Roman"/>
          <w:sz w:val="24"/>
          <w:szCs w:val="24"/>
          <w:lang w:val="ru-RU" w:eastAsia="ru-RU"/>
        </w:rPr>
        <w:t xml:space="preserve"> </w:t>
      </w:r>
    </w:p>
    <w:p w:rsidR="00F050A8" w:rsidRPr="002C2F57" w:rsidRDefault="000B1F80" w:rsidP="00F050A8">
      <w:pPr>
        <w:pStyle w:val="a3"/>
        <w:tabs>
          <w:tab w:val="left" w:pos="851"/>
        </w:tabs>
        <w:spacing w:after="0" w:line="240" w:lineRule="auto"/>
        <w:ind w:left="425"/>
        <w:contextualSpacing w:val="0"/>
        <w:jc w:val="both"/>
        <w:rPr>
          <w:rFonts w:ascii="Times New Roman" w:eastAsia="Times New Roman" w:hAnsi="Times New Roman"/>
          <w:sz w:val="24"/>
          <w:szCs w:val="24"/>
          <w:lang w:val="ru-RU" w:eastAsia="ru-RU"/>
        </w:rPr>
      </w:pPr>
      <w:r w:rsidRPr="00204038">
        <w:rPr>
          <w:rFonts w:ascii="Times New Roman" w:eastAsia="Times New Roman" w:hAnsi="Times New Roman"/>
          <w:sz w:val="24"/>
          <w:szCs w:val="24"/>
          <w:lang w:eastAsia="ru-RU"/>
        </w:rPr>
        <w:t xml:space="preserve">вул. Бастіонна, 6, м. Київ, 01601; </w:t>
      </w:r>
    </w:p>
    <w:p w:rsidR="00F050A8" w:rsidRPr="00F050A8" w:rsidRDefault="000B1F80" w:rsidP="00F050A8">
      <w:pPr>
        <w:pStyle w:val="a3"/>
        <w:tabs>
          <w:tab w:val="left" w:pos="851"/>
        </w:tabs>
        <w:spacing w:after="0" w:line="240" w:lineRule="auto"/>
        <w:ind w:left="425"/>
        <w:contextualSpacing w:val="0"/>
        <w:jc w:val="both"/>
        <w:rPr>
          <w:rFonts w:ascii="Times New Roman" w:eastAsia="Times New Roman" w:hAnsi="Times New Roman"/>
          <w:sz w:val="24"/>
          <w:szCs w:val="24"/>
          <w:lang w:val="ru-RU" w:eastAsia="ru-RU"/>
        </w:rPr>
      </w:pPr>
      <w:r w:rsidRPr="00204038">
        <w:rPr>
          <w:rFonts w:ascii="Times New Roman" w:eastAsia="Times New Roman" w:hAnsi="Times New Roman"/>
          <w:sz w:val="24"/>
          <w:szCs w:val="24"/>
          <w:lang w:eastAsia="ru-RU"/>
        </w:rPr>
        <w:t xml:space="preserve">код за ЄДРПОУ – 37567646; </w:t>
      </w:r>
    </w:p>
    <w:p w:rsidR="000B1F80" w:rsidRPr="00204038" w:rsidRDefault="000B1F80" w:rsidP="00F050A8">
      <w:pPr>
        <w:pStyle w:val="a3"/>
        <w:tabs>
          <w:tab w:val="left" w:pos="851"/>
        </w:tabs>
        <w:spacing w:after="120" w:line="240" w:lineRule="auto"/>
        <w:ind w:left="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sz w:val="24"/>
          <w:szCs w:val="24"/>
          <w:lang w:eastAsia="ru-RU"/>
        </w:rPr>
        <w:t>категорія замовника – орган державної влади.</w:t>
      </w:r>
    </w:p>
    <w:p w:rsidR="00F050A8" w:rsidRPr="00F050A8" w:rsidRDefault="000B1F80" w:rsidP="009F610E">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F610E" w:rsidRPr="00204038">
        <w:rPr>
          <w:rFonts w:ascii="Times New Roman" w:eastAsia="Times New Roman" w:hAnsi="Times New Roman"/>
          <w:b/>
          <w:sz w:val="24"/>
          <w:szCs w:val="24"/>
          <w:lang w:eastAsia="ru-RU"/>
        </w:rPr>
        <w:t xml:space="preserve"> </w:t>
      </w:r>
    </w:p>
    <w:p w:rsidR="009F610E" w:rsidRPr="00204038" w:rsidRDefault="009F610E" w:rsidP="001F0CAB">
      <w:pPr>
        <w:pStyle w:val="a3"/>
        <w:tabs>
          <w:tab w:val="left" w:pos="851"/>
        </w:tabs>
        <w:spacing w:after="120" w:line="240" w:lineRule="auto"/>
        <w:ind w:left="0" w:firstLine="426"/>
        <w:contextualSpacing w:val="0"/>
        <w:jc w:val="both"/>
        <w:rPr>
          <w:rFonts w:ascii="Times New Roman" w:eastAsia="Times New Roman" w:hAnsi="Times New Roman"/>
          <w:sz w:val="24"/>
          <w:szCs w:val="24"/>
          <w:lang w:eastAsia="ru-RU"/>
        </w:rPr>
      </w:pPr>
      <w:r w:rsidRPr="00CC15FB">
        <w:rPr>
          <w:rFonts w:ascii="Times New Roman" w:eastAsia="Times New Roman" w:hAnsi="Times New Roman"/>
          <w:sz w:val="24"/>
          <w:szCs w:val="24"/>
          <w:lang w:eastAsia="ru-RU"/>
        </w:rPr>
        <w:t>«</w:t>
      </w:r>
      <w:r w:rsidR="00AD7D3C" w:rsidRPr="00AD7D3C">
        <w:rPr>
          <w:rFonts w:ascii="Times New Roman" w:eastAsia="Times New Roman" w:hAnsi="Times New Roman"/>
          <w:sz w:val="24"/>
          <w:szCs w:val="24"/>
          <w:lang w:eastAsia="ru-RU"/>
        </w:rPr>
        <w:t>72720000 – 3 – Послуги у сфері глобальних мереж (Захист зовнішніх інформаційних ресурсів від DDoS атак)</w:t>
      </w:r>
      <w:r w:rsidRPr="00CC15FB">
        <w:rPr>
          <w:rFonts w:ascii="Times New Roman" w:eastAsia="Times New Roman" w:hAnsi="Times New Roman"/>
          <w:sz w:val="24"/>
          <w:szCs w:val="24"/>
          <w:lang w:eastAsia="ru-RU"/>
        </w:rPr>
        <w:t>».</w:t>
      </w:r>
    </w:p>
    <w:p w:rsidR="00F050A8" w:rsidRPr="00F050A8" w:rsidRDefault="000B1F80" w:rsidP="000B1F80">
      <w:pPr>
        <w:pStyle w:val="a3"/>
        <w:numPr>
          <w:ilvl w:val="0"/>
          <w:numId w:val="1"/>
        </w:numPr>
        <w:tabs>
          <w:tab w:val="left" w:pos="851"/>
        </w:tabs>
        <w:spacing w:after="120" w:line="240" w:lineRule="auto"/>
        <w:ind w:left="0" w:firstLine="425"/>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p>
    <w:p w:rsidR="000B1F80" w:rsidRPr="00204038" w:rsidRDefault="00C174D4" w:rsidP="00F050A8">
      <w:pPr>
        <w:pStyle w:val="a3"/>
        <w:tabs>
          <w:tab w:val="left" w:pos="851"/>
        </w:tabs>
        <w:spacing w:after="120" w:line="240" w:lineRule="auto"/>
        <w:ind w:left="425"/>
        <w:contextualSpacing w:val="0"/>
        <w:jc w:val="both"/>
        <w:rPr>
          <w:rFonts w:ascii="Times New Roman" w:hAnsi="Times New Roman"/>
          <w:sz w:val="24"/>
          <w:szCs w:val="24"/>
        </w:rPr>
      </w:pPr>
      <w:r w:rsidRPr="00C174D4">
        <w:rPr>
          <w:rFonts w:ascii="Times New Roman" w:eastAsia="Times New Roman" w:hAnsi="Times New Roman"/>
          <w:sz w:val="24"/>
          <w:szCs w:val="24"/>
          <w:lang w:eastAsia="ru-RU"/>
        </w:rPr>
        <w:t>UA-2021-03-23-008429-c</w:t>
      </w:r>
    </w:p>
    <w:p w:rsidR="00B12373" w:rsidRPr="004C5B56" w:rsidRDefault="00595B53" w:rsidP="001350A6">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204038">
        <w:rPr>
          <w:rFonts w:ascii="Times New Roman" w:hAnsi="Times New Roman"/>
          <w:sz w:val="24"/>
          <w:szCs w:val="24"/>
        </w:rPr>
        <w:t xml:space="preserve"> </w:t>
      </w:r>
    </w:p>
    <w:p w:rsidR="00731924" w:rsidRPr="003429FB" w:rsidRDefault="00731924" w:rsidP="00731924">
      <w:pPr>
        <w:pStyle w:val="a7"/>
        <w:spacing w:before="0" w:beforeAutospacing="0" w:after="0" w:afterAutospacing="0"/>
        <w:ind w:right="-2" w:firstLine="709"/>
        <w:jc w:val="both"/>
      </w:pPr>
      <w:r w:rsidRPr="003429FB">
        <w:t>Казначейство</w:t>
      </w:r>
      <w:r w:rsidRPr="003429FB">
        <w:rPr>
          <w:lang w:val="ru-RU"/>
        </w:rPr>
        <w:t>м</w:t>
      </w:r>
      <w:r w:rsidRPr="003429FB">
        <w:t>, відповідно до Положення про Державну казначейську службу України, затвердженого Постановою Кабінету Міністрів України від 15.04.2015 №</w:t>
      </w:r>
      <w:r>
        <w:t> </w:t>
      </w:r>
      <w:r w:rsidRPr="003429FB">
        <w:t>215, для реалізації державної політики у сфері казначейського обслуговування бюджетних коштів в 2018 році введено в експлуатацію систему подання електронної звітності клієнтами Казначейства, доступ до якої здійснюється з використанням мережі Інтернет.</w:t>
      </w:r>
    </w:p>
    <w:p w:rsidR="00731924" w:rsidRPr="003429FB" w:rsidRDefault="00731924" w:rsidP="00731924">
      <w:pPr>
        <w:pStyle w:val="a7"/>
        <w:spacing w:before="0" w:beforeAutospacing="0" w:after="0" w:afterAutospacing="0"/>
        <w:ind w:right="-2" w:firstLine="709"/>
        <w:jc w:val="both"/>
      </w:pPr>
      <w:r w:rsidRPr="003429FB">
        <w:t>Разом з тим, Казначейство з 2012 року отримує послуги доступу до мережі Інтернет від ПрАТ "ДАТАГРУП" та орендує пул ІР – адрес, один з яких використовується для системи подання електронної звітності клієнтами Казначейства. Доступ здійснюється з використанням волоконно-оптичного каналу.</w:t>
      </w:r>
    </w:p>
    <w:p w:rsidR="00731924" w:rsidRPr="003429FB" w:rsidRDefault="00731924" w:rsidP="00731924">
      <w:pPr>
        <w:pStyle w:val="a7"/>
        <w:spacing w:before="0" w:beforeAutospacing="0" w:after="0" w:afterAutospacing="0"/>
        <w:ind w:right="-2" w:firstLine="709"/>
        <w:jc w:val="both"/>
      </w:pPr>
      <w:r w:rsidRPr="003429FB">
        <w:t>З метою забезпечення захисту системи подання електронної звітності клієнтами Казначейства від розподілених атак типу «відмова в обслуговуванні» (DDoS - атак), забезпечення доступності ресурсів у випадку цілеспрямованих атак, направлених на блокування доступу легітимних користувачів внаслідок вичерпання мережевих та серверних ресурсів, Казначейство у 2018 році замовило послугу захисту зовнішніх інформаційних ресурсів від DDoS атак у ПрАТ «ДАТАГРУП»  відповідно до договору від 31.01.2018 № 17-18.</w:t>
      </w:r>
    </w:p>
    <w:p w:rsidR="00731924" w:rsidRPr="003429FB" w:rsidRDefault="00731924" w:rsidP="00731924">
      <w:pPr>
        <w:pStyle w:val="a7"/>
        <w:spacing w:before="0" w:beforeAutospacing="0" w:after="0" w:afterAutospacing="0"/>
        <w:ind w:right="-2" w:firstLine="709"/>
        <w:jc w:val="both"/>
      </w:pPr>
      <w:r w:rsidRPr="003429FB">
        <w:t xml:space="preserve">У 2020 році послуги надавались відповідно до договору </w:t>
      </w:r>
      <w:r>
        <w:t>з ПрАТ "ДАТАГРУП"</w:t>
      </w:r>
      <w:r w:rsidRPr="003429FB">
        <w:t xml:space="preserve"> від 31.03.2020 № 71-20.</w:t>
      </w:r>
    </w:p>
    <w:p w:rsidR="00731924" w:rsidRPr="003429FB" w:rsidRDefault="00731924" w:rsidP="00731924">
      <w:pPr>
        <w:pStyle w:val="a7"/>
        <w:spacing w:before="0" w:beforeAutospacing="0" w:after="0" w:afterAutospacing="0"/>
        <w:ind w:right="-2" w:firstLine="709"/>
        <w:jc w:val="both"/>
      </w:pPr>
      <w:r w:rsidRPr="003429FB">
        <w:t>На даний час захист зовнішніх інформаційних ресурсів від DDoS атак ПрАТ «ДАТАГРУП» забезпечує механізми фільтрації:</w:t>
      </w:r>
    </w:p>
    <w:p w:rsidR="00731924" w:rsidRPr="003429FB" w:rsidRDefault="00731924" w:rsidP="00731924">
      <w:pPr>
        <w:pStyle w:val="a7"/>
        <w:spacing w:before="0" w:beforeAutospacing="0" w:after="0" w:afterAutospacing="0"/>
        <w:ind w:right="-2" w:firstLine="709"/>
        <w:jc w:val="both"/>
      </w:pPr>
      <w:r w:rsidRPr="003429FB">
        <w:t>- на основі «чорних і білих» списків IP адрес (з можливістю редагування);</w:t>
      </w:r>
    </w:p>
    <w:p w:rsidR="00731924" w:rsidRPr="003429FB" w:rsidRDefault="00731924" w:rsidP="00731924">
      <w:pPr>
        <w:pStyle w:val="a7"/>
        <w:spacing w:before="0" w:beforeAutospacing="0" w:after="0" w:afterAutospacing="0"/>
        <w:ind w:right="-2" w:firstLine="709"/>
        <w:jc w:val="both"/>
      </w:pPr>
      <w:r w:rsidRPr="003429FB">
        <w:t>- за географічною ознакою (за місцем розташування джерела паразитного трафіку) з можливістю блокування окремих регіонів;</w:t>
      </w:r>
    </w:p>
    <w:p w:rsidR="00731924" w:rsidRPr="003429FB" w:rsidRDefault="00731924" w:rsidP="00731924">
      <w:pPr>
        <w:pStyle w:val="a7"/>
        <w:spacing w:before="0" w:beforeAutospacing="0" w:after="0" w:afterAutospacing="0"/>
        <w:ind w:right="-2" w:firstLine="709"/>
        <w:jc w:val="both"/>
      </w:pPr>
      <w:r w:rsidRPr="003429FB">
        <w:t>- на основі аналізу коректності використання протоколів;</w:t>
      </w:r>
    </w:p>
    <w:p w:rsidR="00731924" w:rsidRPr="003429FB" w:rsidRDefault="00731924" w:rsidP="00731924">
      <w:pPr>
        <w:pStyle w:val="a7"/>
        <w:spacing w:before="0" w:beforeAutospacing="0" w:after="0" w:afterAutospacing="0"/>
        <w:ind w:right="-2" w:firstLine="709"/>
        <w:jc w:val="both"/>
      </w:pPr>
      <w:r w:rsidRPr="003429FB">
        <w:t>- пропуск трафіку тільки за визначеним списком протоколів;</w:t>
      </w:r>
    </w:p>
    <w:p w:rsidR="00731924" w:rsidRDefault="00731924" w:rsidP="00731924">
      <w:pPr>
        <w:pStyle w:val="a7"/>
        <w:spacing w:before="0" w:beforeAutospacing="0" w:after="0" w:afterAutospacing="0"/>
        <w:ind w:right="-2" w:firstLine="709"/>
        <w:jc w:val="both"/>
      </w:pPr>
      <w:r w:rsidRPr="003429FB">
        <w:t>- на засадах контрзаходів, що дозволяють відокремлювати й блокувати паразитний трафік з атаками мережевого, транспортного та прикладного рівнів (L3, L4 та L7).</w:t>
      </w:r>
    </w:p>
    <w:p w:rsidR="00ED368A" w:rsidRPr="003429FB" w:rsidRDefault="00ED368A" w:rsidP="00731924">
      <w:pPr>
        <w:pStyle w:val="a7"/>
        <w:spacing w:before="0" w:beforeAutospacing="0" w:after="0" w:afterAutospacing="0"/>
        <w:ind w:right="-2" w:firstLine="709"/>
        <w:jc w:val="both"/>
      </w:pPr>
    </w:p>
    <w:p w:rsidR="00731924" w:rsidRPr="003429FB" w:rsidRDefault="00731924" w:rsidP="00731924">
      <w:pPr>
        <w:pStyle w:val="a7"/>
        <w:spacing w:before="0" w:beforeAutospacing="0" w:after="0" w:afterAutospacing="0"/>
        <w:ind w:right="-2" w:firstLine="709"/>
        <w:jc w:val="both"/>
      </w:pPr>
      <w:r w:rsidRPr="003429FB">
        <w:lastRenderedPageBreak/>
        <w:t>Одночасно, захист зовнішніх інформаційних ресурсів від DDoS атак ПрАТ "ДАТАГРУП" забезпечує:</w:t>
      </w:r>
    </w:p>
    <w:p w:rsidR="00731924" w:rsidRPr="003429FB" w:rsidRDefault="00731924" w:rsidP="00731924">
      <w:pPr>
        <w:pStyle w:val="a7"/>
        <w:spacing w:before="0" w:beforeAutospacing="0" w:after="0" w:afterAutospacing="0"/>
        <w:ind w:right="-2" w:firstLine="709"/>
        <w:jc w:val="both"/>
      </w:pPr>
      <w:r w:rsidRPr="003429FB">
        <w:t>- віддалений доступ до веб порталу системи, контролю параметрів роботи системи захисту, статистики, звітів, аналізу параметрів трафіка й виявлених аномалій;</w:t>
      </w:r>
    </w:p>
    <w:p w:rsidR="00731924" w:rsidRPr="003429FB" w:rsidRDefault="00731924" w:rsidP="00731924">
      <w:pPr>
        <w:pStyle w:val="a7"/>
        <w:spacing w:before="0" w:beforeAutospacing="0" w:after="0" w:afterAutospacing="0"/>
        <w:ind w:right="-2" w:firstLine="709"/>
        <w:jc w:val="both"/>
      </w:pPr>
      <w:r w:rsidRPr="003429FB">
        <w:t>- можливість збору та збереження зразку мережевого трафіку під час атаки для подальшого аналізу та розслідування;</w:t>
      </w:r>
    </w:p>
    <w:p w:rsidR="00731924" w:rsidRPr="003429FB" w:rsidRDefault="00731924" w:rsidP="00731924">
      <w:pPr>
        <w:pStyle w:val="a7"/>
        <w:spacing w:before="0" w:beforeAutospacing="0" w:after="0" w:afterAutospacing="0"/>
        <w:ind w:right="-2" w:firstLine="709"/>
        <w:jc w:val="both"/>
      </w:pPr>
      <w:r w:rsidRPr="003429FB">
        <w:t>- забезпечення додаткової аналітики по вимірюваному трафіку та маршрутизації трафіку глобальної мережі;</w:t>
      </w:r>
    </w:p>
    <w:p w:rsidR="00731924" w:rsidRPr="003429FB" w:rsidRDefault="00731924" w:rsidP="00731924">
      <w:pPr>
        <w:pStyle w:val="a7"/>
        <w:spacing w:before="0" w:beforeAutospacing="0" w:after="0" w:afterAutospacing="0"/>
        <w:ind w:right="-2" w:firstLine="709"/>
        <w:jc w:val="both"/>
      </w:pPr>
      <w:r w:rsidRPr="003429FB">
        <w:t>- безперервну роботу в режимі 24х7 із забезпеченням автоматичного реагування;</w:t>
      </w:r>
    </w:p>
    <w:p w:rsidR="00731924" w:rsidRPr="003429FB" w:rsidRDefault="00731924" w:rsidP="00731924">
      <w:pPr>
        <w:pStyle w:val="a7"/>
        <w:spacing w:before="0" w:beforeAutospacing="0" w:after="0" w:afterAutospacing="0"/>
        <w:ind w:right="-2" w:firstLine="709"/>
        <w:jc w:val="both"/>
      </w:pPr>
      <w:r w:rsidRPr="003429FB">
        <w:t>- відсутність обмежень у тривалості захисту при довготривалих DDoS-атаках;</w:t>
      </w:r>
    </w:p>
    <w:p w:rsidR="00731924" w:rsidRPr="003429FB" w:rsidRDefault="00731924" w:rsidP="00731924">
      <w:pPr>
        <w:pStyle w:val="a7"/>
        <w:spacing w:before="0" w:beforeAutospacing="0" w:after="0" w:afterAutospacing="0"/>
        <w:ind w:right="-2" w:firstLine="709"/>
        <w:jc w:val="both"/>
      </w:pPr>
      <w:r w:rsidRPr="003429FB">
        <w:t>- автоматичні повідомлення про початок/завершення DDoS атаки;</w:t>
      </w:r>
    </w:p>
    <w:p w:rsidR="00731924" w:rsidRPr="003429FB" w:rsidRDefault="00731924" w:rsidP="00731924">
      <w:pPr>
        <w:pStyle w:val="a7"/>
        <w:spacing w:before="0" w:beforeAutospacing="0" w:after="0" w:afterAutospacing="0"/>
        <w:ind w:right="-2" w:firstLine="709"/>
        <w:jc w:val="both"/>
      </w:pPr>
      <w:r w:rsidRPr="003429FB">
        <w:t>-</w:t>
      </w:r>
      <w:r w:rsidR="00ED368A">
        <w:t> </w:t>
      </w:r>
      <w:r w:rsidRPr="003429FB">
        <w:t>ведення та зберігання журналів реєстрації подій протягом мінімум 1-го (одного) місяця;</w:t>
      </w:r>
    </w:p>
    <w:p w:rsidR="00731924" w:rsidRPr="003429FB" w:rsidRDefault="00ED368A" w:rsidP="00731924">
      <w:pPr>
        <w:pStyle w:val="a7"/>
        <w:spacing w:before="0" w:beforeAutospacing="0" w:after="0" w:afterAutospacing="0"/>
        <w:ind w:right="-2" w:firstLine="709"/>
        <w:jc w:val="both"/>
      </w:pPr>
      <w:r>
        <w:t>- </w:t>
      </w:r>
      <w:r w:rsidR="00731924" w:rsidRPr="003429FB">
        <w:t>побудову звітів про роботу Системи захисту, зміну параметрів її роботи, наявності атак на захищені ресурси.</w:t>
      </w:r>
    </w:p>
    <w:p w:rsidR="00731924" w:rsidRPr="003429FB" w:rsidRDefault="00731924" w:rsidP="00731924">
      <w:pPr>
        <w:pStyle w:val="a7"/>
        <w:spacing w:before="0" w:beforeAutospacing="0" w:after="0" w:afterAutospacing="0"/>
        <w:ind w:right="-2" w:firstLine="709"/>
        <w:jc w:val="both"/>
      </w:pPr>
      <w:r w:rsidRPr="003429FB">
        <w:t>Отримання послуги захисту зовнішніх інформаційних ресурсів від DDoS атак від іншого оператора послуг потребує отримання нових ІР адрес, створення окремого фізичного каналу передачі легітимного трафіку від цього оператора до обладнання Казначейства.</w:t>
      </w:r>
    </w:p>
    <w:p w:rsidR="00731924" w:rsidRPr="003429FB" w:rsidRDefault="00731924" w:rsidP="00731924">
      <w:pPr>
        <w:pStyle w:val="a7"/>
        <w:spacing w:before="0" w:beforeAutospacing="0" w:after="0" w:afterAutospacing="0"/>
        <w:ind w:right="-2" w:firstLine="709"/>
        <w:jc w:val="both"/>
      </w:pPr>
      <w:r w:rsidRPr="003429FB">
        <w:t>Застосування переговорної процедури дозволить уникнути:</w:t>
      </w:r>
    </w:p>
    <w:p w:rsidR="00731924" w:rsidRPr="003429FB" w:rsidRDefault="00731924" w:rsidP="00731924">
      <w:pPr>
        <w:pStyle w:val="a7"/>
        <w:spacing w:before="0" w:beforeAutospacing="0" w:after="0" w:afterAutospacing="0"/>
        <w:ind w:right="-2" w:firstLine="709"/>
        <w:jc w:val="both"/>
      </w:pPr>
      <w:r w:rsidRPr="003429FB">
        <w:t xml:space="preserve">- порушення безперервності зв’язку в інформаційно-обчислюваних системах на період налаштування обладнання, що може спричинити загрози в організації доступу клієнтам Казначейства до системи подання електронної звітності; </w:t>
      </w:r>
    </w:p>
    <w:p w:rsidR="00731924" w:rsidRPr="003429FB" w:rsidRDefault="00731924" w:rsidP="00731924">
      <w:pPr>
        <w:pStyle w:val="a7"/>
        <w:spacing w:before="0" w:beforeAutospacing="0" w:after="0" w:afterAutospacing="0"/>
        <w:ind w:right="-2" w:firstLine="709"/>
        <w:jc w:val="both"/>
      </w:pPr>
      <w:r w:rsidRPr="003429FB">
        <w:t>-</w:t>
      </w:r>
      <w:r w:rsidRPr="003429FB">
        <w:rPr>
          <w:lang w:val="en-US"/>
        </w:rPr>
        <w:t> </w:t>
      </w:r>
      <w:r w:rsidRPr="003429FB">
        <w:t>додаткових разових витрат на оплату побудови волоконно – оптичних ліній та підключення до мережі нового оператора;</w:t>
      </w:r>
    </w:p>
    <w:p w:rsidR="00731924" w:rsidRPr="003429FB" w:rsidRDefault="00731924" w:rsidP="00731924">
      <w:pPr>
        <w:pStyle w:val="a7"/>
        <w:spacing w:before="0" w:beforeAutospacing="0" w:after="0" w:afterAutospacing="0"/>
        <w:ind w:right="-2" w:firstLine="709"/>
        <w:jc w:val="both"/>
      </w:pPr>
      <w:r w:rsidRPr="003429FB">
        <w:t>-</w:t>
      </w:r>
      <w:r w:rsidRPr="003429FB">
        <w:rPr>
          <w:lang w:val="en-US"/>
        </w:rPr>
        <w:t> </w:t>
      </w:r>
      <w:r w:rsidRPr="003429FB">
        <w:t>додаткових разових витрат на закупівлю обладнання зв’язку та послуг з його налагодження;</w:t>
      </w:r>
    </w:p>
    <w:p w:rsidR="004C5B56" w:rsidRDefault="00731924" w:rsidP="00714D61">
      <w:pPr>
        <w:pStyle w:val="a7"/>
        <w:spacing w:before="0" w:beforeAutospacing="0" w:after="0" w:afterAutospacing="0"/>
        <w:ind w:right="-2" w:firstLine="709"/>
        <w:jc w:val="both"/>
      </w:pPr>
      <w:r w:rsidRPr="003429FB">
        <w:t>- невідповідності послуг, що надаються іншими операторами (незабезпечення сумісності різних протоколів та інтерфейсів каналів зв’язку) і, як наслідок, необхідності заміни обладнання Казначейства.</w:t>
      </w:r>
    </w:p>
    <w:p w:rsidR="00714D61" w:rsidRPr="00F050A8" w:rsidRDefault="00714D61" w:rsidP="00714D61">
      <w:pPr>
        <w:pStyle w:val="a7"/>
        <w:spacing w:before="0" w:beforeAutospacing="0" w:after="0" w:afterAutospacing="0"/>
        <w:ind w:right="-2" w:firstLine="709"/>
        <w:jc w:val="both"/>
      </w:pPr>
    </w:p>
    <w:p w:rsidR="00483E84" w:rsidRDefault="00C819C9" w:rsidP="001350A6">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b/>
          <w:sz w:val="24"/>
          <w:szCs w:val="24"/>
          <w:lang w:eastAsia="ru-RU"/>
        </w:rPr>
      </w:pPr>
      <w:r w:rsidRPr="0096691C">
        <w:rPr>
          <w:rFonts w:ascii="Times New Roman" w:eastAsia="Times New Roman" w:hAnsi="Times New Roman"/>
          <w:b/>
          <w:sz w:val="24"/>
          <w:szCs w:val="24"/>
          <w:lang w:eastAsia="ru-RU"/>
        </w:rPr>
        <w:t xml:space="preserve">Обґрунтування </w:t>
      </w:r>
      <w:r w:rsidR="00B12373" w:rsidRPr="0096691C">
        <w:rPr>
          <w:rFonts w:ascii="Times New Roman" w:eastAsia="Times New Roman" w:hAnsi="Times New Roman"/>
          <w:b/>
          <w:sz w:val="24"/>
          <w:szCs w:val="24"/>
          <w:lang w:eastAsia="ru-RU"/>
        </w:rPr>
        <w:t>розміру бюджетного призначення</w:t>
      </w:r>
      <w:r w:rsidR="00E33FD8" w:rsidRPr="0096691C">
        <w:rPr>
          <w:rFonts w:ascii="Times New Roman" w:eastAsia="Times New Roman" w:hAnsi="Times New Roman"/>
          <w:b/>
          <w:sz w:val="24"/>
          <w:szCs w:val="24"/>
          <w:lang w:eastAsia="ru-RU"/>
        </w:rPr>
        <w:t>:</w:t>
      </w:r>
      <w:r w:rsidR="009F610E" w:rsidRPr="0096691C">
        <w:rPr>
          <w:rFonts w:ascii="Times New Roman" w:eastAsia="Times New Roman" w:hAnsi="Times New Roman"/>
          <w:b/>
          <w:sz w:val="24"/>
          <w:szCs w:val="24"/>
          <w:lang w:eastAsia="ru-RU"/>
        </w:rPr>
        <w:t xml:space="preserve"> </w:t>
      </w:r>
    </w:p>
    <w:p w:rsidR="009E1C6B" w:rsidRDefault="00483E84" w:rsidP="00483E84">
      <w:pPr>
        <w:pStyle w:val="a7"/>
        <w:spacing w:before="0" w:beforeAutospacing="0" w:after="0" w:afterAutospacing="0"/>
        <w:ind w:right="-2" w:firstLine="709"/>
        <w:jc w:val="both"/>
      </w:pPr>
      <w:r>
        <w:t>Р</w:t>
      </w:r>
      <w:r w:rsidR="009F610E" w:rsidRPr="0096691C">
        <w:t>озмір бюджетного призначення</w:t>
      </w:r>
      <w:r w:rsidR="00A877D1" w:rsidRPr="0096691C">
        <w:t xml:space="preserve"> для </w:t>
      </w:r>
      <w:r w:rsidR="00366DD3">
        <w:t>предмета закупівлі «</w:t>
      </w:r>
      <w:r w:rsidR="00B34473" w:rsidRPr="00B34473">
        <w:t>72720000 – 3 – Послуги у сфері глобальних мереж (Захист зовнішніх інформаційних ресурсів від DDoS атак)</w:t>
      </w:r>
      <w:r w:rsidR="00366DD3">
        <w:t>»</w:t>
      </w:r>
      <w:r w:rsidR="00772C36" w:rsidRPr="0096691C">
        <w:t>,</w:t>
      </w:r>
      <w:r w:rsidR="009F610E" w:rsidRPr="0096691C">
        <w:t xml:space="preserve"> </w:t>
      </w:r>
      <w:r w:rsidR="009E1C6B" w:rsidRPr="009E1C6B">
        <w:t>відповідає розрахунку видатків до кошторису Казначейства на 2021 рік (загальний фонд) за КПКВК 3504010 ««Керівництво та управління у сфері казначейського обслуговування»</w:t>
      </w:r>
      <w:r w:rsidR="009E1C6B">
        <w:t>.</w:t>
      </w:r>
    </w:p>
    <w:p w:rsidR="00DD4E4A" w:rsidRPr="00CB30F3" w:rsidRDefault="00DD4E4A" w:rsidP="009F610E">
      <w:pPr>
        <w:spacing w:after="0" w:line="240" w:lineRule="auto"/>
        <w:jc w:val="both"/>
        <w:rPr>
          <w:rFonts w:ascii="Times New Roman" w:hAnsi="Times New Roman" w:cs="Times New Roman"/>
          <w:sz w:val="16"/>
          <w:szCs w:val="16"/>
        </w:rPr>
      </w:pPr>
    </w:p>
    <w:p w:rsidR="00B12373" w:rsidRPr="00204038" w:rsidRDefault="00B6060F" w:rsidP="008B26F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204038">
        <w:rPr>
          <w:rFonts w:ascii="Times New Roman" w:eastAsia="Times New Roman" w:hAnsi="Times New Roman"/>
          <w:b/>
          <w:sz w:val="24"/>
          <w:szCs w:val="24"/>
          <w:lang w:eastAsia="ru-RU"/>
        </w:rPr>
        <w:t>Обґрунтування</w:t>
      </w:r>
      <w:r w:rsidR="00B12373" w:rsidRPr="00204038">
        <w:rPr>
          <w:rFonts w:ascii="Times New Roman" w:eastAsia="Times New Roman" w:hAnsi="Times New Roman"/>
          <w:b/>
          <w:sz w:val="24"/>
          <w:szCs w:val="24"/>
          <w:lang w:eastAsia="ru-RU"/>
        </w:rPr>
        <w:t xml:space="preserve"> очікуваної вартості предмета закупівлі</w:t>
      </w:r>
      <w:r w:rsidR="00C819C9" w:rsidRPr="00204038">
        <w:rPr>
          <w:rFonts w:ascii="Times New Roman" w:eastAsia="Times New Roman" w:hAnsi="Times New Roman"/>
          <w:b/>
          <w:sz w:val="24"/>
          <w:szCs w:val="24"/>
          <w:lang w:eastAsia="ru-RU"/>
        </w:rPr>
        <w:t>:</w:t>
      </w:r>
    </w:p>
    <w:p w:rsidR="002F7D8B" w:rsidRDefault="002F7D8B" w:rsidP="002F7D8B">
      <w:pPr>
        <w:spacing w:after="0" w:line="240" w:lineRule="auto"/>
        <w:ind w:firstLine="567"/>
        <w:jc w:val="both"/>
        <w:rPr>
          <w:rFonts w:ascii="Times New Roman" w:eastAsia="Times New Roman" w:hAnsi="Times New Roman" w:cs="Times New Roman"/>
          <w:sz w:val="16"/>
          <w:szCs w:val="16"/>
          <w:lang w:eastAsia="ru-RU"/>
        </w:rPr>
      </w:pPr>
    </w:p>
    <w:p w:rsidR="002E19BB" w:rsidRDefault="009E1C6B" w:rsidP="009E1C6B">
      <w:pPr>
        <w:pStyle w:val="a7"/>
        <w:spacing w:before="0" w:beforeAutospacing="0" w:after="0" w:afterAutospacing="0"/>
        <w:ind w:right="-2" w:firstLine="709"/>
        <w:jc w:val="both"/>
      </w:pPr>
      <w:r w:rsidRPr="009E1C6B">
        <w:t>Очікувана вартість предмета закупівлі</w:t>
      </w:r>
      <w:r w:rsidR="002E19BB" w:rsidRPr="002E19BB">
        <w:t>, з урахуванням наданої Приватним акціонерним товариством «ДАТАГРУП» комерц</w:t>
      </w:r>
      <w:r w:rsidR="002E19BB">
        <w:t>ійної пропозиції від 18.03.2021</w:t>
      </w:r>
      <w:r w:rsidR="002E19BB" w:rsidRPr="002E19BB">
        <w:t xml:space="preserve"> </w:t>
      </w:r>
      <w:r w:rsidR="002E19BB">
        <w:t xml:space="preserve">     </w:t>
      </w:r>
      <w:r w:rsidR="002E19BB" w:rsidRPr="002E19BB">
        <w:t>№ 5081</w:t>
      </w:r>
      <w:r w:rsidR="006E5417">
        <w:t>3</w:t>
      </w:r>
      <w:r w:rsidR="002E19BB" w:rsidRPr="002E19BB">
        <w:t>, становить 168 000,00 грн з ПДВ, що відповідає розміру бюджетного призначення.</w:t>
      </w:r>
    </w:p>
    <w:p w:rsidR="002E19BB" w:rsidRDefault="002E19BB" w:rsidP="009E1C6B">
      <w:pPr>
        <w:pStyle w:val="a7"/>
        <w:spacing w:before="0" w:beforeAutospacing="0" w:after="0" w:afterAutospacing="0"/>
        <w:ind w:right="-2" w:firstLine="709"/>
        <w:jc w:val="both"/>
      </w:pPr>
    </w:p>
    <w:p w:rsidR="002E19BB" w:rsidRDefault="002E19BB" w:rsidP="009E1C6B">
      <w:pPr>
        <w:pStyle w:val="a7"/>
        <w:spacing w:before="0" w:beforeAutospacing="0" w:after="0" w:afterAutospacing="0"/>
        <w:ind w:right="-2" w:firstLine="709"/>
        <w:jc w:val="both"/>
      </w:pPr>
    </w:p>
    <w:p w:rsidR="002E19BB" w:rsidRDefault="002E19BB" w:rsidP="009E1C6B">
      <w:pPr>
        <w:pStyle w:val="a7"/>
        <w:spacing w:before="0" w:beforeAutospacing="0" w:after="0" w:afterAutospacing="0"/>
        <w:ind w:right="-2" w:firstLine="709"/>
        <w:jc w:val="both"/>
      </w:pPr>
    </w:p>
    <w:p w:rsidR="002E19BB" w:rsidRPr="009E1C6B" w:rsidRDefault="002E19BB" w:rsidP="009E1C6B">
      <w:pPr>
        <w:pStyle w:val="a7"/>
        <w:spacing w:before="0" w:beforeAutospacing="0" w:after="0" w:afterAutospacing="0"/>
        <w:ind w:right="-2" w:firstLine="709"/>
        <w:jc w:val="both"/>
      </w:pPr>
    </w:p>
    <w:sectPr w:rsidR="002E19BB" w:rsidRPr="009E1C6B" w:rsidSect="0096691C">
      <w:pgSz w:w="11906" w:h="16838"/>
      <w:pgMar w:top="567" w:right="850" w:bottom="850"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B5A20"/>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39FA68A2"/>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B1F80"/>
    <w:rsid w:val="000210D2"/>
    <w:rsid w:val="00035765"/>
    <w:rsid w:val="0006430F"/>
    <w:rsid w:val="000710DB"/>
    <w:rsid w:val="00075BE6"/>
    <w:rsid w:val="00083B42"/>
    <w:rsid w:val="0009519D"/>
    <w:rsid w:val="000A53ED"/>
    <w:rsid w:val="000B1F80"/>
    <w:rsid w:val="000C58C4"/>
    <w:rsid w:val="000C7711"/>
    <w:rsid w:val="000D292C"/>
    <w:rsid w:val="000D4E09"/>
    <w:rsid w:val="000E23B7"/>
    <w:rsid w:val="00107850"/>
    <w:rsid w:val="001350A6"/>
    <w:rsid w:val="0015274D"/>
    <w:rsid w:val="001A6A6B"/>
    <w:rsid w:val="001F0CAB"/>
    <w:rsid w:val="001F3A51"/>
    <w:rsid w:val="00204038"/>
    <w:rsid w:val="00214C14"/>
    <w:rsid w:val="002C2F57"/>
    <w:rsid w:val="002E19BB"/>
    <w:rsid w:val="002E3C42"/>
    <w:rsid w:val="002F5EE4"/>
    <w:rsid w:val="002F7D8B"/>
    <w:rsid w:val="00301EE4"/>
    <w:rsid w:val="0033014F"/>
    <w:rsid w:val="00347FC7"/>
    <w:rsid w:val="00366DD3"/>
    <w:rsid w:val="00370C4C"/>
    <w:rsid w:val="0038019F"/>
    <w:rsid w:val="003920C0"/>
    <w:rsid w:val="00431A7F"/>
    <w:rsid w:val="0044235C"/>
    <w:rsid w:val="00483E84"/>
    <w:rsid w:val="00486C89"/>
    <w:rsid w:val="004C5B56"/>
    <w:rsid w:val="004E1635"/>
    <w:rsid w:val="004F61C0"/>
    <w:rsid w:val="00520DCD"/>
    <w:rsid w:val="005621FD"/>
    <w:rsid w:val="00575E3F"/>
    <w:rsid w:val="00586827"/>
    <w:rsid w:val="00595B53"/>
    <w:rsid w:val="005A69B3"/>
    <w:rsid w:val="005C3EF9"/>
    <w:rsid w:val="006065A6"/>
    <w:rsid w:val="006124A8"/>
    <w:rsid w:val="00644756"/>
    <w:rsid w:val="00656A05"/>
    <w:rsid w:val="00681DC9"/>
    <w:rsid w:val="00691B46"/>
    <w:rsid w:val="006A1BE5"/>
    <w:rsid w:val="006B7798"/>
    <w:rsid w:val="006D338E"/>
    <w:rsid w:val="006D6144"/>
    <w:rsid w:val="006E5417"/>
    <w:rsid w:val="00714D61"/>
    <w:rsid w:val="0071711D"/>
    <w:rsid w:val="00730C65"/>
    <w:rsid w:val="00731924"/>
    <w:rsid w:val="00772C36"/>
    <w:rsid w:val="0078612B"/>
    <w:rsid w:val="00791592"/>
    <w:rsid w:val="007D5D75"/>
    <w:rsid w:val="007E2AC0"/>
    <w:rsid w:val="00812206"/>
    <w:rsid w:val="008208C3"/>
    <w:rsid w:val="00835DC6"/>
    <w:rsid w:val="0085703C"/>
    <w:rsid w:val="008920DD"/>
    <w:rsid w:val="008B26F8"/>
    <w:rsid w:val="00903348"/>
    <w:rsid w:val="009275E5"/>
    <w:rsid w:val="0092768A"/>
    <w:rsid w:val="0096691C"/>
    <w:rsid w:val="00966C3D"/>
    <w:rsid w:val="00967420"/>
    <w:rsid w:val="00995CE4"/>
    <w:rsid w:val="00995DC2"/>
    <w:rsid w:val="009A0F13"/>
    <w:rsid w:val="009E1C6B"/>
    <w:rsid w:val="009F102C"/>
    <w:rsid w:val="009F3E30"/>
    <w:rsid w:val="009F44B1"/>
    <w:rsid w:val="009F610E"/>
    <w:rsid w:val="00A04DD5"/>
    <w:rsid w:val="00A83726"/>
    <w:rsid w:val="00A877D1"/>
    <w:rsid w:val="00AD2A1A"/>
    <w:rsid w:val="00AD7D3C"/>
    <w:rsid w:val="00B12373"/>
    <w:rsid w:val="00B13B30"/>
    <w:rsid w:val="00B23E0D"/>
    <w:rsid w:val="00B34473"/>
    <w:rsid w:val="00B44958"/>
    <w:rsid w:val="00B44B35"/>
    <w:rsid w:val="00B6060F"/>
    <w:rsid w:val="00B62AC4"/>
    <w:rsid w:val="00B91AD6"/>
    <w:rsid w:val="00C174D4"/>
    <w:rsid w:val="00C203D9"/>
    <w:rsid w:val="00C50EBF"/>
    <w:rsid w:val="00C819C9"/>
    <w:rsid w:val="00CA4C89"/>
    <w:rsid w:val="00CB30F3"/>
    <w:rsid w:val="00CC15FB"/>
    <w:rsid w:val="00CC4CE3"/>
    <w:rsid w:val="00CE5A36"/>
    <w:rsid w:val="00CF1FB3"/>
    <w:rsid w:val="00D05CAF"/>
    <w:rsid w:val="00D10986"/>
    <w:rsid w:val="00D2405F"/>
    <w:rsid w:val="00D417A2"/>
    <w:rsid w:val="00DD4E4A"/>
    <w:rsid w:val="00DE7670"/>
    <w:rsid w:val="00E33508"/>
    <w:rsid w:val="00E33FD8"/>
    <w:rsid w:val="00E655C3"/>
    <w:rsid w:val="00E83D21"/>
    <w:rsid w:val="00ED368A"/>
    <w:rsid w:val="00EF62AC"/>
    <w:rsid w:val="00F050A8"/>
    <w:rsid w:val="00F12AB5"/>
    <w:rsid w:val="00F14CFD"/>
    <w:rsid w:val="00F3645A"/>
    <w:rsid w:val="00F727F1"/>
    <w:rsid w:val="00F7410B"/>
    <w:rsid w:val="00F93308"/>
    <w:rsid w:val="00F94398"/>
    <w:rsid w:val="00FB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styleId="a7">
    <w:name w:val="Normal (Web)"/>
    <w:basedOn w:val="a"/>
    <w:uiPriority w:val="99"/>
    <w:rsid w:val="0073192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7D849-C219-485F-BAD1-D7491F50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2800-polishukM</cp:lastModifiedBy>
  <cp:revision>2</cp:revision>
  <cp:lastPrinted>2021-02-26T08:08:00Z</cp:lastPrinted>
  <dcterms:created xsi:type="dcterms:W3CDTF">2021-03-24T08:52:00Z</dcterms:created>
  <dcterms:modified xsi:type="dcterms:W3CDTF">2021-03-24T08:52:00Z</dcterms:modified>
</cp:coreProperties>
</file>