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b/>
          <w:b/>
          <w:sz w:val="24"/>
          <w:szCs w:val="24"/>
          <w:lang w:val="uk-UA" w:bidi="ar-SA"/>
        </w:rPr>
      </w:pPr>
      <w:r>
        <w:rPr>
          <w:rFonts w:ascii="Times New Roman" w:hAnsi="Times New Roman"/>
          <w:b/>
          <w:sz w:val="24"/>
          <w:szCs w:val="24"/>
          <w:lang w:val="uk-UA" w:bidi="ar-SA"/>
        </w:rPr>
      </w:r>
    </w:p>
    <w:p>
      <w:pPr>
        <w:pStyle w:val="Normal"/>
        <w:spacing w:lineRule="auto" w:line="240" w:before="0" w:after="0"/>
        <w:jc w:val="center"/>
        <w:rPr>
          <w:rFonts w:ascii="Times New Roman" w:hAnsi="Times New Roman"/>
          <w:b/>
          <w:b/>
          <w:sz w:val="26"/>
          <w:szCs w:val="26"/>
          <w:lang w:val="uk-UA" w:bidi="ar-SA"/>
        </w:rPr>
      </w:pPr>
      <w:r>
        <w:rPr>
          <w:rFonts w:ascii="Times New Roman" w:hAnsi="Times New Roman"/>
          <w:b/>
          <w:sz w:val="26"/>
          <w:szCs w:val="26"/>
          <w:lang w:val="uk-UA" w:bidi="ar-S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pPr>
        <w:pStyle w:val="Normal"/>
        <w:spacing w:lineRule="auto" w:line="240" w:before="0" w:after="0"/>
        <w:jc w:val="center"/>
        <w:rPr/>
      </w:pPr>
      <w:r>
        <w:rPr>
          <w:rFonts w:cs="Times New Roman" w:ascii="Times New Roman" w:hAnsi="Times New Roman"/>
          <w:sz w:val="24"/>
          <w:szCs w:val="24"/>
          <w:lang w:val="uk-UA" w:bidi="ar-SA"/>
        </w:rPr>
        <w:t>(відповідно до пункту 4</w:t>
      </w:r>
      <w:r>
        <w:rPr>
          <w:rFonts w:cs="Times New Roman" w:ascii="Times New Roman" w:hAnsi="Times New Roman"/>
          <w:sz w:val="24"/>
          <w:szCs w:val="24"/>
          <w:vertAlign w:val="superscript"/>
          <w:lang w:val="uk-UA" w:bidi="ar-SA"/>
        </w:rPr>
        <w:t>1</w:t>
      </w:r>
      <w:r>
        <w:rPr>
          <w:rFonts w:cs="Times New Roman" w:ascii="Times New Roman" w:hAnsi="Times New Roman"/>
          <w:sz w:val="24"/>
          <w:szCs w:val="24"/>
          <w:lang w:val="uk-UA" w:bidi="ar-SA"/>
        </w:rPr>
        <w:t>постанови КМУ від 11.10.2016 № 710 «Про ефективне використання державних коштів» (зі змінами))</w:t>
      </w:r>
    </w:p>
    <w:p>
      <w:pPr>
        <w:pStyle w:val="Normal"/>
        <w:spacing w:lineRule="auto" w:line="240" w:before="0" w:after="0"/>
        <w:jc w:val="center"/>
        <w:rPr>
          <w:rFonts w:ascii="Times New Roman" w:hAnsi="Times New Roman" w:cs="Times New Roman"/>
          <w:sz w:val="24"/>
          <w:szCs w:val="24"/>
          <w:lang w:val="uk-UA" w:bidi="ar-SA"/>
        </w:rPr>
      </w:pPr>
      <w:r>
        <w:rPr>
          <w:rFonts w:cs="Times New Roman" w:ascii="Times New Roman" w:hAnsi="Times New Roman"/>
          <w:sz w:val="24"/>
          <w:szCs w:val="24"/>
          <w:lang w:val="uk-UA" w:bidi="ar-SA"/>
        </w:rPr>
      </w:r>
    </w:p>
    <w:p>
      <w:pPr>
        <w:pStyle w:val="ListParagraph"/>
        <w:numPr>
          <w:ilvl w:val="0"/>
          <w:numId w:val="1"/>
        </w:numPr>
        <w:tabs>
          <w:tab w:val="clear" w:pos="708"/>
          <w:tab w:val="left" w:pos="851" w:leader="none"/>
        </w:tabs>
        <w:spacing w:lineRule="auto" w:line="240" w:before="0" w:after="0"/>
        <w:ind w:left="0" w:right="0" w:firstLine="425"/>
        <w:contextualSpacing/>
        <w:jc w:val="both"/>
        <w:rPr>
          <w:rFonts w:ascii="Times New Roman" w:hAnsi="Times New Roman" w:eastAsia="Times New Roman"/>
          <w:b/>
          <w:b/>
          <w:sz w:val="24"/>
          <w:szCs w:val="24"/>
          <w:lang w:val="uk-UA" w:eastAsia="ru-RU" w:bidi="ar-SA"/>
        </w:rPr>
      </w:pPr>
      <w:r>
        <w:rPr>
          <w:rFonts w:eastAsia="Times New Roman" w:ascii="Times New Roman" w:hAnsi="Times New Roman"/>
          <w:b/>
          <w:sz w:val="24"/>
          <w:szCs w:val="24"/>
          <w:lang w:val="uk-UA" w:eastAsia="ru-RU" w:bidi="ar-SA"/>
        </w:rPr>
        <w:t>Найменування, місце знаходження та ідентифікаційний код замовника в Єдиному державному реєстрі юридичних осіб, фізичних осіб - підприємців та громадських формувань:</w:t>
      </w:r>
    </w:p>
    <w:p>
      <w:pPr>
        <w:pStyle w:val="1"/>
        <w:shd w:val="clear" w:fill="FFFFFF"/>
        <w:tabs>
          <w:tab w:val="clear" w:pos="708"/>
          <w:tab w:val="left" w:pos="0" w:leader="none"/>
        </w:tabs>
        <w:spacing w:lineRule="auto" w:line="276" w:before="0" w:after="0"/>
        <w:jc w:val="both"/>
        <w:rPr>
          <w:rFonts w:ascii="Times New Roman" w:hAnsi="Times New Roman" w:eastAsia="Times New Roman" w:cs="Times New Roman"/>
          <w:iCs/>
          <w:color w:val="000000"/>
          <w:sz w:val="24"/>
          <w:szCs w:val="24"/>
          <w:lang w:val="uk-UA" w:eastAsia="ru-RU" w:bidi="ar-SA"/>
        </w:rPr>
      </w:pPr>
      <w:r>
        <w:rPr>
          <w:rFonts w:eastAsia="Times New Roman" w:cs="Times New Roman" w:ascii="Times New Roman" w:hAnsi="Times New Roman"/>
          <w:iCs/>
          <w:color w:val="000000"/>
          <w:sz w:val="24"/>
          <w:szCs w:val="24"/>
          <w:lang w:val="uk-UA" w:eastAsia="ru-RU" w:bidi="ar-SA"/>
        </w:rPr>
        <w:t>Головне управління Державної казначейської служби України у Сумській області (далі — Головне управління / Замовник), 40000, Сумська область, м. Суми, вул. Воскресенська, 7</w:t>
      </w:r>
    </w:p>
    <w:p>
      <w:pPr>
        <w:pStyle w:val="1"/>
        <w:shd w:val="clear" w:fill="FFFFFF"/>
        <w:tabs>
          <w:tab w:val="clear" w:pos="708"/>
          <w:tab w:val="left" w:pos="0" w:leader="none"/>
        </w:tabs>
        <w:spacing w:lineRule="auto" w:line="276" w:before="0" w:after="0"/>
        <w:ind w:left="340" w:right="0" w:hanging="340"/>
        <w:jc w:val="both"/>
        <w:rPr>
          <w:rFonts w:ascii="Times New Roman" w:hAnsi="Times New Roman" w:eastAsia="Times New Roman" w:cs="Times New Roman"/>
          <w:iCs/>
          <w:color w:val="000000"/>
          <w:sz w:val="24"/>
          <w:szCs w:val="24"/>
          <w:lang w:val="uk-UA" w:eastAsia="ru-RU" w:bidi="ar-SA"/>
        </w:rPr>
      </w:pPr>
      <w:r>
        <w:rPr>
          <w:rFonts w:eastAsia="Times New Roman" w:cs="Times New Roman" w:ascii="Times New Roman" w:hAnsi="Times New Roman"/>
          <w:iCs/>
          <w:color w:val="000000"/>
          <w:sz w:val="24"/>
          <w:szCs w:val="24"/>
          <w:lang w:val="uk-UA" w:eastAsia="ru-RU" w:bidi="ar-SA"/>
        </w:rPr>
        <w:t>код за ЄДРПОУ — 37970404.</w:t>
      </w:r>
    </w:p>
    <w:p>
      <w:pPr>
        <w:pStyle w:val="ListParagraph"/>
        <w:numPr>
          <w:ilvl w:val="0"/>
          <w:numId w:val="1"/>
        </w:numPr>
        <w:tabs>
          <w:tab w:val="clear" w:pos="708"/>
          <w:tab w:val="left" w:pos="851" w:leader="none"/>
        </w:tabs>
        <w:spacing w:lineRule="auto" w:line="240" w:before="0" w:after="0"/>
        <w:ind w:left="0" w:right="0" w:firstLine="425"/>
        <w:contextualSpacing/>
        <w:jc w:val="both"/>
        <w:rPr>
          <w:rFonts w:ascii="Times New Roman" w:hAnsi="Times New Roman" w:eastAsia="Times New Roman"/>
          <w:b/>
          <w:b/>
          <w:sz w:val="24"/>
          <w:szCs w:val="24"/>
          <w:lang w:val="uk-UA" w:eastAsia="ru-RU" w:bidi="ar-SA"/>
        </w:rPr>
      </w:pPr>
      <w:r>
        <w:rPr>
          <w:rFonts w:eastAsia="Times New Roman" w:ascii="Times New Roman" w:hAnsi="Times New Roman"/>
          <w:b/>
          <w:sz w:val="24"/>
          <w:szCs w:val="24"/>
          <w:lang w:val="uk-UA" w:eastAsia="ru-RU" w:bidi="ar-S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
    <w:p>
      <w:pPr>
        <w:pStyle w:val="1"/>
        <w:shd w:val="clear" w:fill="FFFFFF"/>
        <w:tabs>
          <w:tab w:val="clear" w:pos="708"/>
          <w:tab w:val="left" w:pos="855" w:leader="none"/>
        </w:tabs>
        <w:spacing w:lineRule="auto" w:line="276" w:before="0" w:after="0"/>
        <w:ind w:left="0" w:right="0" w:firstLine="567"/>
        <w:jc w:val="both"/>
        <w:rPr/>
      </w:pPr>
      <w:r>
        <w:rPr>
          <w:rStyle w:val="Qacpvclassifier"/>
          <w:rFonts w:ascii="Times New Roman" w:hAnsi="Times New Roman"/>
          <w:color w:val="000000"/>
          <w:sz w:val="24"/>
          <w:szCs w:val="24"/>
          <w:lang w:val="uk-UA" w:bidi="ar-SA"/>
        </w:rPr>
        <w:t>ДК 021:2015 65310000-9 ‒ Розподіл електричної енергії (Послуги з розподілу електричної енергії та супутні по</w:t>
      </w:r>
      <w:r>
        <w:rPr>
          <w:rStyle w:val="Qacpvclassifier"/>
          <w:rFonts w:ascii="Times New Roman" w:hAnsi="Times New Roman"/>
          <w:color w:val="000000"/>
          <w:sz w:val="24"/>
          <w:szCs w:val="24"/>
          <w:shd w:fill="auto" w:val="clear"/>
          <w:lang w:val="uk-UA" w:bidi="ar-SA"/>
        </w:rPr>
        <w:t>слуги (послуги із забезпечення перетікань реактивної електричної енергії)”.</w:t>
      </w:r>
    </w:p>
    <w:p>
      <w:pPr>
        <w:pStyle w:val="ListParagraph"/>
        <w:numPr>
          <w:ilvl w:val="0"/>
          <w:numId w:val="1"/>
        </w:numPr>
        <w:tabs>
          <w:tab w:val="clear" w:pos="708"/>
          <w:tab w:val="left" w:pos="851" w:leader="none"/>
        </w:tabs>
        <w:spacing w:lineRule="auto" w:line="240" w:before="0" w:after="0"/>
        <w:ind w:left="0" w:right="0" w:firstLine="425"/>
        <w:contextualSpacing/>
        <w:jc w:val="both"/>
        <w:rPr>
          <w:shd w:fill="auto" w:val="clear"/>
        </w:rPr>
      </w:pPr>
      <w:r>
        <w:rPr>
          <w:rFonts w:eastAsia="Times New Roman" w:ascii="Times New Roman" w:hAnsi="Times New Roman"/>
          <w:b/>
          <w:sz w:val="24"/>
          <w:szCs w:val="24"/>
          <w:shd w:fill="auto" w:val="clear"/>
          <w:lang w:val="uk-UA" w:eastAsia="ru-RU" w:bidi="ar-SA"/>
        </w:rPr>
        <w:t xml:space="preserve">Ідентифікатор закупівлі: </w:t>
      </w:r>
      <w:r>
        <w:rPr>
          <w:rFonts w:eastAsia="Times New Roman" w:ascii="Times New Roman" w:hAnsi="Times New Roman"/>
          <w:sz w:val="24"/>
          <w:szCs w:val="24"/>
          <w:shd w:fill="auto" w:val="clear"/>
          <w:lang w:val="uk-UA" w:eastAsia="ru-RU" w:bidi="ar-SA"/>
        </w:rPr>
        <w:t>UA-2023-01-31-014450-а</w:t>
      </w:r>
    </w:p>
    <w:p>
      <w:pPr>
        <w:pStyle w:val="ListParagraph"/>
        <w:numPr>
          <w:ilvl w:val="0"/>
          <w:numId w:val="1"/>
        </w:numPr>
        <w:tabs>
          <w:tab w:val="clear" w:pos="708"/>
          <w:tab w:val="left" w:pos="851" w:leader="none"/>
        </w:tabs>
        <w:spacing w:lineRule="auto" w:line="240" w:before="0" w:after="0"/>
        <w:ind w:left="0" w:right="0" w:firstLine="425"/>
        <w:contextualSpacing/>
        <w:jc w:val="both"/>
        <w:rPr>
          <w:shd w:fill="auto" w:val="clear"/>
        </w:rPr>
      </w:pPr>
      <w:r>
        <w:rPr>
          <w:rFonts w:eastAsia="Times New Roman" w:ascii="Times New Roman" w:hAnsi="Times New Roman"/>
          <w:b/>
          <w:sz w:val="24"/>
          <w:szCs w:val="24"/>
          <w:shd w:fill="auto" w:val="clear"/>
          <w:lang w:val="uk-UA" w:eastAsia="ru-RU" w:bidi="ar-SA"/>
        </w:rPr>
        <w:t>Обґрунтування технічних та якісних характеристик предмета закупівлі:</w:t>
      </w:r>
    </w:p>
    <w:p>
      <w:pPr>
        <w:pStyle w:val="Normal"/>
        <w:widowControl/>
        <w:tabs>
          <w:tab w:val="clear" w:pos="708"/>
          <w:tab w:val="left" w:pos="851" w:leader="none"/>
        </w:tabs>
        <w:suppressAutoHyphens w:val="true"/>
        <w:bidi w:val="0"/>
        <w:spacing w:lineRule="auto" w:line="276" w:before="0" w:after="0"/>
        <w:ind w:left="0" w:right="0" w:firstLine="850"/>
        <w:contextualSpacing/>
        <w:jc w:val="both"/>
        <w:rPr/>
      </w:pPr>
      <w:r>
        <w:rPr>
          <w:rStyle w:val="Qacpvclassifier"/>
          <w:rFonts w:eastAsia="Calibri" w:ascii="Times New Roman" w:hAnsi="Times New Roman"/>
          <w:b w:val="false"/>
          <w:bCs w:val="false"/>
          <w:color w:val="000000"/>
          <w:kern w:val="0"/>
          <w:sz w:val="24"/>
          <w:szCs w:val="24"/>
          <w:shd w:fill="auto" w:val="clear"/>
          <w:lang w:val="uk-UA" w:eastAsia="en-US" w:bidi="ar-SA"/>
        </w:rPr>
        <w:t xml:space="preserve">Для забезпечення виконання покладених на Головне управління завдань необхідно здійснити закупівлю послуг </w:t>
      </w:r>
      <w:r>
        <w:rPr>
          <w:rStyle w:val="Qacpvclassifier"/>
          <w:rFonts w:eastAsia="Calibri" w:ascii="Times New Roman" w:hAnsi="Times New Roman"/>
          <w:b w:val="false"/>
          <w:bCs w:val="false"/>
          <w:i w:val="false"/>
          <w:iCs w:val="false"/>
          <w:strike w:val="false"/>
          <w:dstrike w:val="false"/>
          <w:outline w:val="false"/>
          <w:shadow w:val="false"/>
          <w:color w:val="000000"/>
          <w:spacing w:val="-5"/>
          <w:kern w:val="0"/>
          <w:sz w:val="24"/>
          <w:szCs w:val="24"/>
          <w:u w:val="none"/>
          <w:shd w:fill="auto" w:val="clear"/>
          <w:em w:val="none"/>
          <w:lang w:val="uk-UA" w:eastAsia="en-US" w:bidi="ar-SA"/>
        </w:rPr>
        <w:t>ДК 021:2015 65310000-9 ‒ Розподіл електричної енергії (Послуги з розподілу електричної енергії та супутні послуги (послуги із забезпечення перетікань реактивної електричної енергії)”</w:t>
      </w:r>
      <w:r>
        <w:rPr>
          <w:rStyle w:val="Qacpvclassifier"/>
          <w:rFonts w:eastAsia="Calibri" w:ascii="Times New Roman" w:hAnsi="Times New Roman"/>
          <w:b w:val="false"/>
          <w:bCs w:val="false"/>
          <w:i w:val="false"/>
          <w:iCs w:val="false"/>
          <w:color w:val="000000"/>
          <w:spacing w:val="-5"/>
          <w:kern w:val="0"/>
          <w:sz w:val="24"/>
          <w:szCs w:val="24"/>
          <w:shd w:fill="auto" w:val="clear"/>
          <w:lang w:val="uk-UA" w:eastAsia="en-US" w:bidi="ar-SA"/>
        </w:rPr>
        <w:t xml:space="preserve"> </w:t>
      </w:r>
    </w:p>
    <w:p>
      <w:pPr>
        <w:pStyle w:val="ListParagraph"/>
        <w:widowControl/>
        <w:tabs>
          <w:tab w:val="clear" w:pos="708"/>
          <w:tab w:val="left" w:pos="851" w:leader="none"/>
        </w:tabs>
        <w:suppressAutoHyphens w:val="true"/>
        <w:bidi w:val="0"/>
        <w:spacing w:lineRule="auto" w:line="276" w:before="0" w:after="0"/>
        <w:ind w:left="0" w:right="0" w:firstLine="850"/>
        <w:contextualSpacing/>
        <w:jc w:val="both"/>
        <w:rPr/>
      </w:pPr>
      <w:r>
        <w:rPr>
          <w:rStyle w:val="Qacpvclassifier"/>
          <w:rFonts w:eastAsia="Calibri" w:ascii="Times New Roman" w:hAnsi="Times New Roman"/>
          <w:color w:val="000000"/>
          <w:kern w:val="0"/>
          <w:sz w:val="24"/>
          <w:szCs w:val="24"/>
          <w:shd w:fill="auto" w:val="clear"/>
          <w:lang w:val="uk-UA" w:eastAsia="en-US" w:bidi="ar-SA"/>
        </w:rPr>
        <w:t>Відповідно до абзацу 4 підпункту 5 пункту 13 (відсутність конкуренції з технічни</w:t>
      </w:r>
      <w:r>
        <w:rPr>
          <w:rStyle w:val="Qacpvclassifier"/>
          <w:rFonts w:cs="Times New Roman" w:ascii="Times New Roman" w:hAnsi="Times New Roman"/>
          <w:color w:val="000000"/>
          <w:sz w:val="24"/>
          <w:szCs w:val="24"/>
          <w:shd w:fill="auto" w:val="clear"/>
          <w:lang w:val="uk-UA" w:bidi="ar-SA"/>
        </w:rPr>
        <w:t>х причин, яка повинна бути документально підтверджена замовником)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затверджених постановою Кабінету Міністрів України від 12.10.2022 року №1178,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без застосування відкритих торгів та/або електронного каталогу для закупівлі товару.</w:t>
      </w:r>
    </w:p>
    <w:p>
      <w:pPr>
        <w:pStyle w:val="ListParagraph"/>
        <w:widowControl/>
        <w:tabs>
          <w:tab w:val="clear" w:pos="708"/>
          <w:tab w:val="left" w:pos="851" w:leader="none"/>
        </w:tabs>
        <w:suppressAutoHyphens w:val="true"/>
        <w:bidi w:val="0"/>
        <w:spacing w:lineRule="auto" w:line="276" w:before="0" w:after="0"/>
        <w:ind w:left="0" w:right="0" w:firstLine="850"/>
        <w:contextualSpacing/>
        <w:jc w:val="both"/>
        <w:rPr>
          <w:rFonts w:ascii="Times New Roman" w:hAnsi="Times New Roman" w:cs="Times New Roman"/>
          <w:sz w:val="24"/>
          <w:szCs w:val="24"/>
          <w:shd w:fill="auto" w:val="clear"/>
          <w:lang w:val="uk-UA" w:bidi="ar-SA"/>
        </w:rPr>
      </w:pPr>
      <w:r>
        <w:rPr>
          <w:rFonts w:cs="Times New Roman" w:ascii="Times New Roman" w:hAnsi="Times New Roman"/>
          <w:sz w:val="24"/>
          <w:szCs w:val="24"/>
          <w:shd w:fill="auto" w:val="clear"/>
          <w:lang w:val="uk-UA" w:bidi="ar-SA"/>
        </w:rPr>
        <w:t>Частиною другою статті 5 Закону України “Про природні монополії” передбачено ведення Антимонопольним комітетом України зведеного переліку природних монополій на підставі реєстрів суб’єктів природних монополій у сфері житлово-комунального господарства, що формуються національною комісією, що здійснює державне регулювання у сфері комунальних послуг, а в інших сферах, в яких діють суб’єкти природних монополій, - національними комісіями регулювання природних монополій у відповідній сфері або органами виконавчої влади, що здійснюють функції такого регулювання до створення зазначених комісій.</w:t>
      </w:r>
    </w:p>
    <w:p>
      <w:pPr>
        <w:pStyle w:val="ListParagraph"/>
        <w:widowControl/>
        <w:tabs>
          <w:tab w:val="clear" w:pos="708"/>
          <w:tab w:val="left" w:pos="851" w:leader="none"/>
        </w:tabs>
        <w:suppressAutoHyphens w:val="true"/>
        <w:bidi w:val="0"/>
        <w:spacing w:lineRule="auto" w:line="276" w:before="0" w:after="0"/>
        <w:ind w:left="0" w:right="0" w:firstLine="850"/>
        <w:contextualSpacing/>
        <w:jc w:val="both"/>
        <w:rPr>
          <w:rFonts w:ascii="Times New Roman" w:hAnsi="Times New Roman" w:cs="Times New Roman"/>
          <w:sz w:val="24"/>
          <w:szCs w:val="24"/>
          <w:shd w:fill="auto" w:val="clear"/>
          <w:lang w:val="uk-UA" w:bidi="ar-SA"/>
        </w:rPr>
      </w:pPr>
      <w:r>
        <w:rPr>
          <w:rFonts w:cs="Times New Roman" w:ascii="Times New Roman" w:hAnsi="Times New Roman"/>
          <w:sz w:val="24"/>
          <w:szCs w:val="24"/>
          <w:shd w:fill="auto" w:val="clear"/>
          <w:lang w:val="uk-UA" w:bidi="ar-SA"/>
        </w:rPr>
        <w:t>Разом з тим, відповідно до статті 13 Закону України “Про природні монополії” національні комісії регулювання природних монополій у відповідній сфері або органи виконавчої влади що здійснюють функції такого регулювання до створення зазначеної комісії,  визначають суб’єктів природних монополій, складають та ведуть реєстри таких суб’єктів природних монополій.</w:t>
      </w:r>
    </w:p>
    <w:p>
      <w:pPr>
        <w:pStyle w:val="ListParagraph"/>
        <w:widowControl/>
        <w:tabs>
          <w:tab w:val="clear" w:pos="708"/>
          <w:tab w:val="left" w:pos="851" w:leader="none"/>
        </w:tabs>
        <w:suppressAutoHyphens w:val="true"/>
        <w:bidi w:val="0"/>
        <w:spacing w:lineRule="auto" w:line="276" w:before="0" w:after="0"/>
        <w:ind w:left="0" w:right="0" w:firstLine="850"/>
        <w:contextualSpacing/>
        <w:jc w:val="both"/>
        <w:rPr>
          <w:rFonts w:ascii="Times New Roman" w:hAnsi="Times New Roman" w:cs="Times New Roman"/>
          <w:sz w:val="24"/>
          <w:szCs w:val="24"/>
          <w:shd w:fill="auto" w:val="clear"/>
          <w:lang w:val="uk-UA" w:bidi="ar-SA"/>
        </w:rPr>
      </w:pPr>
      <w:r>
        <w:rPr>
          <w:rFonts w:cs="Times New Roman" w:ascii="Times New Roman" w:hAnsi="Times New Roman"/>
          <w:sz w:val="24"/>
          <w:szCs w:val="24"/>
          <w:shd w:fill="auto" w:val="clear"/>
          <w:lang w:val="uk-UA" w:bidi="ar-SA"/>
        </w:rPr>
        <w:t>Відповідно до пункту 4 Порядку складання та ведення зведеного переліку суб’єктів природних монополій, затвердженого розпорядженням Комітету від 28.11.2012 року №874-р, внесення суб’єктів природних монополій до Зведеного переліку здійснюється Комітетом на підставі реєстрів, отриманих від Міністерства інфраструктури України, Національної комісії, що здійснює державне регулювання у сферах енергетики та комунальних послуг.</w:t>
      </w:r>
    </w:p>
    <w:p>
      <w:pPr>
        <w:pStyle w:val="ListParagraph"/>
        <w:widowControl/>
        <w:tabs>
          <w:tab w:val="clear" w:pos="708"/>
          <w:tab w:val="left" w:pos="851" w:leader="none"/>
        </w:tabs>
        <w:suppressAutoHyphens w:val="true"/>
        <w:bidi w:val="0"/>
        <w:spacing w:lineRule="auto" w:line="276" w:before="0" w:after="0"/>
        <w:ind w:left="0" w:right="0" w:firstLine="850"/>
        <w:contextualSpacing/>
        <w:jc w:val="both"/>
        <w:rPr>
          <w:rFonts w:ascii="Times New Roman" w:hAnsi="Times New Roman" w:cs="Times New Roman"/>
          <w:sz w:val="24"/>
          <w:szCs w:val="24"/>
          <w:shd w:fill="auto" w:val="clear"/>
          <w:lang w:val="uk-UA" w:bidi="ar-SA"/>
        </w:rPr>
      </w:pPr>
      <w:r>
        <w:rPr>
          <w:rFonts w:cs="Times New Roman" w:ascii="Times New Roman" w:hAnsi="Times New Roman"/>
          <w:sz w:val="24"/>
          <w:szCs w:val="24"/>
          <w:shd w:fill="auto" w:val="clear"/>
          <w:lang w:val="uk-UA" w:bidi="ar-SA"/>
        </w:rPr>
        <w:t xml:space="preserve">У зв’язку з введенням воєнного стану в Україні згідно з Указом Президента України від 24 лютого 2022 року №64/2022 “Про введення воєнного стану в Україні” (зі змінами), затвердженим Законом України від 24.02.2022 року №2102-Х, з урахуванням положень постанови Кабінету Міністрів України від 12.03.2022 року №263 “Деякі питання забезпечення функціонування інформаційно-комунікаційних систем, електронних комунікаційних систем, публічних електронних ресурсів в умовах воєнного стану”, пункту 4 протоколу №82 засідання Кабінету Міністрів України від 28.05.2022 року, з метою забезпечення безпеки відповідних суб’єктів господарювання, Зведений перелік суб’єктів природних монополій наразі не оприлюднюється. </w:t>
      </w:r>
    </w:p>
    <w:p>
      <w:pPr>
        <w:pStyle w:val="ListParagraph"/>
        <w:widowControl/>
        <w:tabs>
          <w:tab w:val="clear" w:pos="708"/>
          <w:tab w:val="left" w:pos="851" w:leader="none"/>
        </w:tabs>
        <w:suppressAutoHyphens w:val="true"/>
        <w:bidi w:val="0"/>
        <w:spacing w:lineRule="auto" w:line="276" w:before="0" w:after="0"/>
        <w:ind w:left="0" w:right="0" w:firstLine="850"/>
        <w:contextualSpacing/>
        <w:jc w:val="both"/>
        <w:rPr>
          <w:rFonts w:ascii="Times New Roman" w:hAnsi="Times New Roman" w:cs="Times New Roman"/>
          <w:sz w:val="24"/>
          <w:szCs w:val="24"/>
          <w:shd w:fill="auto" w:val="clear"/>
          <w:lang w:val="uk-UA" w:bidi="ar-SA"/>
        </w:rPr>
      </w:pPr>
      <w:r>
        <w:rPr>
          <w:rFonts w:cs="Times New Roman" w:ascii="Times New Roman" w:hAnsi="Times New Roman"/>
          <w:sz w:val="24"/>
          <w:szCs w:val="24"/>
          <w:shd w:fill="auto" w:val="clear"/>
          <w:lang w:val="uk-UA" w:bidi="ar-SA"/>
        </w:rPr>
        <w:t>Водночас, Антимонопольним комітетом України надається необхідна інформація на офіційні звернення замовників стосовно підтвердження факту перебування конкретного суб’єкта господарювання в Зведеному переліку суб’єктів природних монополій.</w:t>
      </w:r>
    </w:p>
    <w:p>
      <w:pPr>
        <w:pStyle w:val="ListParagraph"/>
        <w:widowControl/>
        <w:tabs>
          <w:tab w:val="clear" w:pos="708"/>
          <w:tab w:val="left" w:pos="851" w:leader="none"/>
        </w:tabs>
        <w:suppressAutoHyphens w:val="true"/>
        <w:bidi w:val="0"/>
        <w:spacing w:lineRule="auto" w:line="276" w:before="0" w:after="0"/>
        <w:ind w:left="0" w:right="0" w:firstLine="850"/>
        <w:contextualSpacing/>
        <w:jc w:val="both"/>
        <w:rPr/>
      </w:pPr>
      <w:r>
        <w:rPr>
          <w:rStyle w:val="Qacpvclassifier"/>
          <w:rFonts w:cs="Times New Roman" w:ascii="Times New Roman" w:hAnsi="Times New Roman"/>
          <w:color w:val="000000"/>
          <w:sz w:val="24"/>
          <w:szCs w:val="24"/>
          <w:shd w:fill="auto" w:val="clear"/>
          <w:lang w:val="uk-UA" w:bidi="ar-SA"/>
        </w:rPr>
        <w:t xml:space="preserve">Для отримання документального підтвердження відсутності конкуренції з технічних причин, Замовником </w:t>
      </w:r>
      <w:r>
        <w:rPr>
          <w:rFonts w:cs="Times New Roman" w:ascii="Times New Roman" w:hAnsi="Times New Roman"/>
          <w:sz w:val="24"/>
          <w:szCs w:val="24"/>
          <w:shd w:fill="auto" w:val="clear"/>
          <w:lang w:val="uk-UA" w:bidi="ar-SA"/>
        </w:rPr>
        <w:t>було направлено до Антимонопольного комітету України лист від 20 грудня 2022 року №16-04-06/6671 “Щодо реєстру природних монополій”.</w:t>
      </w:r>
    </w:p>
    <w:p>
      <w:pPr>
        <w:pStyle w:val="ListParagraph"/>
        <w:widowControl/>
        <w:tabs>
          <w:tab w:val="clear" w:pos="708"/>
          <w:tab w:val="left" w:pos="851" w:leader="none"/>
        </w:tabs>
        <w:suppressAutoHyphens w:val="true"/>
        <w:bidi w:val="0"/>
        <w:spacing w:lineRule="auto" w:line="276" w:before="0" w:after="0"/>
        <w:ind w:left="0" w:right="0" w:firstLine="850"/>
        <w:contextualSpacing/>
        <w:jc w:val="both"/>
        <w:rPr/>
      </w:pPr>
      <w:r>
        <w:rPr>
          <w:rFonts w:cs="Times New Roman" w:ascii="Times New Roman" w:hAnsi="Times New Roman"/>
          <w:sz w:val="24"/>
          <w:szCs w:val="24"/>
          <w:shd w:fill="auto" w:val="clear"/>
          <w:lang w:val="uk-UA" w:bidi="ar-SA"/>
        </w:rPr>
        <w:t xml:space="preserve">Відповідно до витягу зі Зведеного переліку суб’єктів природних монополій станом на 30.11.2022 року ‒ АТ „СУМИОБЛЕНЕРГО” (код за ЄДРПОУ 23293513) є суб’єктом природних монополій та займає монопольне становище на ринку розподілу електричної енергії на території Сумської </w:t>
      </w:r>
      <w:r>
        <w:rPr>
          <w:rFonts w:eastAsia="Calibri" w:cs="Times New Roman" w:ascii="Times New Roman" w:hAnsi="Times New Roman"/>
          <w:color w:val="000000"/>
          <w:kern w:val="0"/>
          <w:sz w:val="24"/>
          <w:szCs w:val="24"/>
          <w:shd w:fill="auto" w:val="clear"/>
          <w:lang w:val="uk-UA" w:eastAsia="en-US" w:bidi="ar-SA"/>
        </w:rPr>
        <w:t>громади</w:t>
      </w:r>
      <w:r>
        <w:rPr>
          <w:rFonts w:cs="Times New Roman" w:ascii="Times New Roman" w:hAnsi="Times New Roman"/>
          <w:sz w:val="24"/>
          <w:szCs w:val="24"/>
          <w:shd w:fill="auto" w:val="clear"/>
          <w:lang w:val="uk-UA" w:bidi="ar-SA"/>
        </w:rPr>
        <w:t>.</w:t>
      </w:r>
    </w:p>
    <w:p>
      <w:pPr>
        <w:pStyle w:val="ListParagraph"/>
        <w:widowControl/>
        <w:tabs>
          <w:tab w:val="clear" w:pos="708"/>
          <w:tab w:val="left" w:pos="851" w:leader="none"/>
        </w:tabs>
        <w:suppressAutoHyphens w:val="true"/>
        <w:bidi w:val="0"/>
        <w:spacing w:lineRule="auto" w:line="276" w:before="0" w:after="0"/>
        <w:ind w:left="0" w:right="0" w:firstLine="850"/>
        <w:contextualSpacing/>
        <w:jc w:val="both"/>
        <w:rPr/>
      </w:pPr>
      <w:r>
        <w:rPr>
          <w:rFonts w:cs="Times New Roman" w:ascii="Times New Roman" w:hAnsi="Times New Roman"/>
          <w:sz w:val="24"/>
          <w:szCs w:val="24"/>
          <w:shd w:fill="auto" w:val="clear"/>
          <w:lang w:val="uk-UA" w:bidi="ar-SA"/>
        </w:rPr>
        <w:t xml:space="preserve">Суб’єкт господарювання здійснює свою діяльність на підставі ліцензії на право провадження господарської діяльності з розподілу електричної енергії, виданої відповідно до постанови Національної комісії, що здійснює державне регулювання у сферах енергетики та комунальних послуг (далі ‒ НКРЕКП), від 16.11.2018 року №1445. </w:t>
      </w:r>
    </w:p>
    <w:p>
      <w:pPr>
        <w:pStyle w:val="ListParagraph"/>
        <w:widowControl/>
        <w:tabs>
          <w:tab w:val="clear" w:pos="708"/>
          <w:tab w:val="left" w:pos="851" w:leader="none"/>
        </w:tabs>
        <w:suppressAutoHyphens w:val="true"/>
        <w:bidi w:val="0"/>
        <w:spacing w:lineRule="auto" w:line="276" w:before="0" w:after="0"/>
        <w:ind w:left="0" w:right="0" w:firstLine="850"/>
        <w:contextualSpacing/>
        <w:jc w:val="both"/>
        <w:rPr>
          <w:rFonts w:ascii="Times New Roman" w:hAnsi="Times New Roman" w:cs="Times New Roman"/>
          <w:sz w:val="24"/>
          <w:szCs w:val="24"/>
          <w:shd w:fill="auto" w:val="clear"/>
          <w:lang w:val="uk-UA" w:bidi="ar-SA"/>
        </w:rPr>
      </w:pPr>
      <w:r>
        <w:rPr>
          <w:rFonts w:cs="Times New Roman" w:ascii="Times New Roman" w:hAnsi="Times New Roman"/>
          <w:sz w:val="24"/>
          <w:szCs w:val="24"/>
          <w:shd w:fill="auto" w:val="clear"/>
          <w:lang w:val="uk-UA" w:bidi="ar-SA"/>
        </w:rPr>
        <w:t>Адміністративне приміщення Головного управління, розташоване за адресою: м. Суми, вул. Воскресенська, буд.7, підключене до місцевих (розподільчих) електричних мереж             АТ „СУМИОБЛЕНЕРГО”. Головне управління відповідно до вимог Закону України “Про ринок електричної енергії” та Правил роздрібного ринку електричної енергії, затверджених постановою НКРЕКП від 14.03.2018 року №312, приєдналось до умов публічного договору споживача АТ „СУМИОБЛЕНЕРГО” про надання послуг з розподілу електричної енергії.</w:t>
      </w:r>
    </w:p>
    <w:p>
      <w:pPr>
        <w:pStyle w:val="ListParagraph"/>
        <w:widowControl/>
        <w:tabs>
          <w:tab w:val="clear" w:pos="708"/>
          <w:tab w:val="left" w:pos="851" w:leader="none"/>
        </w:tabs>
        <w:suppressAutoHyphens w:val="true"/>
        <w:bidi w:val="0"/>
        <w:spacing w:lineRule="auto" w:line="276" w:before="0" w:after="0"/>
        <w:ind w:left="0" w:right="0" w:firstLine="850"/>
        <w:contextualSpacing/>
        <w:jc w:val="both"/>
        <w:rPr>
          <w:rFonts w:ascii="Times New Roman" w:hAnsi="Times New Roman" w:cs="Times New Roman"/>
          <w:sz w:val="24"/>
          <w:szCs w:val="24"/>
          <w:shd w:fill="auto" w:val="clear"/>
          <w:lang w:val="uk-UA" w:bidi="ar-SA"/>
        </w:rPr>
      </w:pPr>
      <w:r>
        <w:rPr>
          <w:rFonts w:cs="Times New Roman" w:ascii="Times New Roman" w:hAnsi="Times New Roman"/>
          <w:sz w:val="24"/>
          <w:szCs w:val="24"/>
          <w:shd w:fill="auto" w:val="clear"/>
          <w:lang w:val="uk-UA" w:bidi="ar-SA"/>
        </w:rPr>
        <w:t>Відповідно до умов укладеного договору приєднання Оператор системи розподілу надає Споживачу послуги з розподілу електричної енергії, параметри якості якої відповідають показникам, визначеним Кодексом системи передачі, затвердженим постановою НКРЕКП від 14.03.2018 року №309, та Кодексом систем розподілу, затвердженим постановою  НКРЕКП від 14.03.2018 року №310, за об’єктом, технічні параметри якого фіксуються в Паспорті точки розподілу електричної енергії та в особовому рахунку Споживача, облікових базах Оператора системи розподілу.</w:t>
      </w:r>
    </w:p>
    <w:p>
      <w:pPr>
        <w:pStyle w:val="ListParagraph"/>
        <w:numPr>
          <w:ilvl w:val="0"/>
          <w:numId w:val="1"/>
        </w:numPr>
        <w:tabs>
          <w:tab w:val="clear" w:pos="708"/>
          <w:tab w:val="left" w:pos="851" w:leader="none"/>
        </w:tabs>
        <w:spacing w:lineRule="auto" w:line="276" w:before="0" w:after="0"/>
        <w:ind w:left="0" w:right="0" w:firstLine="425"/>
        <w:contextualSpacing/>
        <w:jc w:val="both"/>
        <w:rPr>
          <w:rFonts w:ascii="Times New Roman" w:hAnsi="Times New Roman" w:eastAsia="Times New Roman"/>
          <w:b/>
          <w:b/>
          <w:sz w:val="24"/>
          <w:szCs w:val="24"/>
          <w:lang w:val="uk-UA" w:eastAsia="ru-RU" w:bidi="ar-SA"/>
        </w:rPr>
      </w:pPr>
      <w:r>
        <w:rPr>
          <w:rFonts w:eastAsia="Times New Roman" w:ascii="Times New Roman" w:hAnsi="Times New Roman"/>
          <w:b/>
          <w:sz w:val="24"/>
          <w:szCs w:val="24"/>
          <w:lang w:val="uk-UA" w:eastAsia="ru-RU" w:bidi="ar-SA"/>
        </w:rPr>
        <w:t>Обґрунтування розміру бюджетного призначення:</w:t>
      </w:r>
    </w:p>
    <w:p>
      <w:pPr>
        <w:pStyle w:val="ListParagraph"/>
        <w:widowControl/>
        <w:tabs>
          <w:tab w:val="clear" w:pos="708"/>
          <w:tab w:val="left" w:pos="851" w:leader="none"/>
        </w:tabs>
        <w:suppressAutoHyphens w:val="true"/>
        <w:overflowPunct w:val="true"/>
        <w:bidi w:val="0"/>
        <w:spacing w:lineRule="auto" w:line="276" w:before="0" w:after="0"/>
        <w:ind w:left="0" w:right="0" w:firstLine="850"/>
        <w:contextualSpacing/>
        <w:jc w:val="both"/>
        <w:rPr>
          <w:shd w:fill="auto" w:val="clear"/>
        </w:rPr>
      </w:pPr>
      <w:r>
        <w:rPr>
          <w:rFonts w:eastAsia="Times New Roman" w:ascii="Times New Roman" w:hAnsi="Times New Roman"/>
          <w:sz w:val="24"/>
          <w:szCs w:val="24"/>
          <w:shd w:fill="auto" w:val="clear"/>
          <w:lang w:val="uk-UA" w:eastAsia="ru-RU" w:bidi="ar-SA"/>
        </w:rPr>
        <w:t>Розмір бюджетного призначення, визначений відповідно до розрахунку до кошторису на 202</w:t>
      </w:r>
      <w:r>
        <w:rPr>
          <w:rFonts w:eastAsia="Times New Roman" w:ascii="Times New Roman" w:hAnsi="Times New Roman"/>
          <w:sz w:val="24"/>
          <w:szCs w:val="24"/>
          <w:shd w:fill="auto" w:val="clear"/>
          <w:lang w:val="en-US" w:eastAsia="ru-RU" w:bidi="ar-SA"/>
        </w:rPr>
        <w:t>3</w:t>
      </w:r>
      <w:r>
        <w:rPr>
          <w:rFonts w:eastAsia="Times New Roman" w:ascii="Times New Roman" w:hAnsi="Times New Roman"/>
          <w:sz w:val="24"/>
          <w:szCs w:val="24"/>
          <w:shd w:fill="auto" w:val="clear"/>
          <w:lang w:val="uk-UA" w:eastAsia="ru-RU" w:bidi="ar-SA"/>
        </w:rPr>
        <w:t xml:space="preserve"> рік, становить 124 593,34 грн з ПДВ, Тариф згідно постанови НКРЕКП від 21.12.2022 №1808 за 1 кВт*год — 1,41880 грн без ПДВ . Запланований обсяг — 73180 кВт*годин.</w:t>
      </w:r>
    </w:p>
    <w:p>
      <w:pPr>
        <w:pStyle w:val="ListParagraph"/>
        <w:tabs>
          <w:tab w:val="clear" w:pos="708"/>
          <w:tab w:val="left" w:pos="851" w:leader="none"/>
        </w:tabs>
        <w:spacing w:lineRule="auto" w:line="240" w:before="0" w:after="0"/>
        <w:ind w:left="0" w:right="0" w:firstLine="425"/>
        <w:contextualSpacing/>
        <w:jc w:val="both"/>
        <w:rPr>
          <w:shd w:fill="auto" w:val="clear"/>
        </w:rPr>
      </w:pPr>
      <w:r>
        <w:rPr>
          <w:rFonts w:eastAsia="Times New Roman" w:ascii="Times New Roman" w:hAnsi="Times New Roman"/>
          <w:b/>
          <w:bCs/>
          <w:sz w:val="24"/>
          <w:szCs w:val="24"/>
          <w:shd w:fill="auto" w:val="clear"/>
          <w:lang w:val="uk-UA" w:eastAsia="ru-RU" w:bidi="ar-SA"/>
        </w:rPr>
        <w:t>6. О</w:t>
      </w:r>
      <w:r>
        <w:rPr>
          <w:rFonts w:eastAsia="Times New Roman" w:ascii="Times New Roman" w:hAnsi="Times New Roman"/>
          <w:b/>
          <w:sz w:val="24"/>
          <w:szCs w:val="24"/>
          <w:shd w:fill="auto" w:val="clear"/>
          <w:lang w:val="uk-UA" w:eastAsia="ru-RU" w:bidi="ar-SA"/>
        </w:rPr>
        <w:t>чікувана вартість предмета закупівлі:</w:t>
      </w:r>
      <w:r>
        <w:rPr>
          <w:rFonts w:eastAsia="Times New Roman" w:ascii="Times New Roman" w:hAnsi="Times New Roman"/>
          <w:b w:val="false"/>
          <w:bCs w:val="false"/>
          <w:sz w:val="24"/>
          <w:szCs w:val="24"/>
          <w:shd w:fill="auto" w:val="clear"/>
          <w:lang w:val="uk-UA" w:eastAsia="ru-RU" w:bidi="ar-SA"/>
        </w:rPr>
        <w:t xml:space="preserve"> 124 593,34</w:t>
      </w:r>
      <w:r>
        <w:rPr>
          <w:rFonts w:eastAsia="Times New Roman" w:ascii="Times New Roman" w:hAnsi="Times New Roman"/>
          <w:b w:val="false"/>
          <w:bCs w:val="false"/>
          <w:color w:val="000000"/>
          <w:sz w:val="24"/>
          <w:szCs w:val="24"/>
          <w:shd w:fill="auto" w:val="clear"/>
          <w:lang w:val="uk-UA" w:eastAsia="zh-CN" w:bidi="ar-SA"/>
        </w:rPr>
        <w:t xml:space="preserve"> </w:t>
      </w:r>
      <w:r>
        <w:rPr>
          <w:rFonts w:eastAsia="Times New Roman" w:ascii="Times New Roman" w:hAnsi="Times New Roman"/>
          <w:color w:val="000000"/>
          <w:sz w:val="24"/>
          <w:szCs w:val="24"/>
          <w:shd w:fill="auto" w:val="clear"/>
          <w:lang w:val="uk-UA" w:eastAsia="zh-CN" w:bidi="ar-SA"/>
        </w:rPr>
        <w:t>грн</w:t>
      </w:r>
      <w:r>
        <w:rPr>
          <w:rFonts w:eastAsia="Times New Roman" w:ascii="Times New Roman" w:hAnsi="Times New Roman"/>
          <w:color w:val="000000"/>
          <w:sz w:val="24"/>
          <w:szCs w:val="24"/>
          <w:shd w:fill="auto" w:val="clear"/>
          <w:lang w:val="uk-UA" w:eastAsia="ru-RU" w:bidi="ar-SA"/>
        </w:rPr>
        <w:t xml:space="preserve"> з ПДВ.</w:t>
      </w:r>
    </w:p>
    <w:p>
      <w:pPr>
        <w:pStyle w:val="ListParagraph"/>
        <w:tabs>
          <w:tab w:val="clear" w:pos="708"/>
          <w:tab w:val="left" w:pos="851" w:leader="none"/>
        </w:tabs>
        <w:spacing w:lineRule="auto" w:line="276" w:before="0" w:after="0"/>
        <w:ind w:left="0" w:right="0" w:firstLine="425"/>
        <w:contextualSpacing/>
        <w:jc w:val="both"/>
        <w:rPr/>
      </w:pPr>
      <w:r>
        <w:rPr>
          <w:rFonts w:eastAsia="Times New Roman" w:ascii="Times New Roman" w:hAnsi="Times New Roman"/>
          <w:b/>
          <w:bCs/>
          <w:color w:val="000000"/>
          <w:sz w:val="24"/>
          <w:szCs w:val="24"/>
          <w:lang w:val="uk-UA" w:eastAsia="ru-RU" w:bidi="ar-SA"/>
        </w:rPr>
        <w:t xml:space="preserve">7. </w:t>
      </w:r>
      <w:r>
        <w:rPr>
          <w:rFonts w:eastAsia="Times New Roman" w:ascii="Times New Roman" w:hAnsi="Times New Roman"/>
          <w:b/>
          <w:sz w:val="24"/>
          <w:szCs w:val="24"/>
          <w:lang w:val="uk-UA" w:eastAsia="ru-RU" w:bidi="ar-SA"/>
        </w:rPr>
        <w:t>Обґрунтування очікуваної вартості предмета закупівлі:</w:t>
      </w:r>
    </w:p>
    <w:p>
      <w:pPr>
        <w:pStyle w:val="Normal"/>
        <w:widowControl/>
        <w:suppressAutoHyphens w:val="true"/>
        <w:overflowPunct w:val="true"/>
        <w:bidi w:val="0"/>
        <w:spacing w:lineRule="auto" w:line="276" w:before="0" w:after="0"/>
        <w:ind w:left="0" w:right="0" w:firstLine="850"/>
        <w:jc w:val="both"/>
        <w:rPr/>
      </w:pPr>
      <w:r>
        <w:rPr>
          <w:rFonts w:eastAsia="Times New Roman" w:cs="Times New Roman" w:ascii="Times New Roman" w:hAnsi="Times New Roman"/>
          <w:b w:val="false"/>
          <w:bCs w:val="false"/>
          <w:color w:val="000000"/>
          <w:sz w:val="24"/>
          <w:szCs w:val="24"/>
          <w:shd w:fill="auto" w:val="clear"/>
          <w:lang w:val="uk-UA" w:eastAsia="ru-RU" w:bidi="ar-SA"/>
        </w:rPr>
        <w:t xml:space="preserve">Визначено відповідно до Методики визначення очікуваної вартості предмета закупівлі Головного управління Державної казначейської служби України у Сумській області, затвердженої наказом Головного управління від </w:t>
      </w:r>
      <w:r>
        <w:rPr>
          <w:rFonts w:eastAsia="Times New Roman" w:cs="Times New Roman" w:ascii="Times New Roman" w:hAnsi="Times New Roman"/>
          <w:b w:val="false"/>
          <w:bCs w:val="false"/>
          <w:color w:val="000000"/>
          <w:sz w:val="24"/>
          <w:szCs w:val="24"/>
          <w:shd w:fill="auto" w:val="clear"/>
          <w:lang w:val="en-US" w:eastAsia="ru-RU" w:bidi="ar-SA"/>
        </w:rPr>
        <w:t>24</w:t>
      </w:r>
      <w:r>
        <w:rPr>
          <w:rFonts w:eastAsia="Times New Roman" w:cs="Times New Roman" w:ascii="Times New Roman" w:hAnsi="Times New Roman"/>
          <w:b w:val="false"/>
          <w:bCs w:val="false"/>
          <w:color w:val="000000"/>
          <w:sz w:val="24"/>
          <w:szCs w:val="24"/>
          <w:shd w:fill="auto" w:val="clear"/>
          <w:lang w:val="uk-UA" w:eastAsia="ru-RU" w:bidi="ar-SA"/>
        </w:rPr>
        <w:t>.</w:t>
      </w:r>
      <w:r>
        <w:rPr>
          <w:rFonts w:eastAsia="Times New Roman" w:cs="Times New Roman" w:ascii="Times New Roman" w:hAnsi="Times New Roman"/>
          <w:b w:val="false"/>
          <w:bCs w:val="false"/>
          <w:color w:val="000000"/>
          <w:sz w:val="24"/>
          <w:szCs w:val="24"/>
          <w:shd w:fill="auto" w:val="clear"/>
          <w:lang w:val="en-US" w:eastAsia="ru-RU" w:bidi="ar-SA"/>
        </w:rPr>
        <w:t>11</w:t>
      </w:r>
      <w:r>
        <w:rPr>
          <w:rFonts w:eastAsia="Times New Roman" w:cs="Times New Roman" w:ascii="Times New Roman" w:hAnsi="Times New Roman"/>
          <w:b w:val="false"/>
          <w:bCs w:val="false"/>
          <w:color w:val="000000"/>
          <w:sz w:val="24"/>
          <w:szCs w:val="24"/>
          <w:shd w:fill="auto" w:val="clear"/>
          <w:lang w:val="uk-UA" w:eastAsia="ru-RU" w:bidi="ar-SA"/>
        </w:rPr>
        <w:t>.202</w:t>
      </w:r>
      <w:r>
        <w:rPr>
          <w:rFonts w:eastAsia="Times New Roman" w:cs="Times New Roman" w:ascii="Times New Roman" w:hAnsi="Times New Roman"/>
          <w:b w:val="false"/>
          <w:bCs w:val="false"/>
          <w:color w:val="000000"/>
          <w:sz w:val="24"/>
          <w:szCs w:val="24"/>
          <w:shd w:fill="auto" w:val="clear"/>
          <w:lang w:val="en-US" w:eastAsia="ru-RU" w:bidi="ar-SA"/>
        </w:rPr>
        <w:t>2</w:t>
      </w:r>
      <w:r>
        <w:rPr>
          <w:rFonts w:eastAsia="Times New Roman" w:cs="Times New Roman" w:ascii="Times New Roman" w:hAnsi="Times New Roman"/>
          <w:b w:val="false"/>
          <w:bCs w:val="false"/>
          <w:color w:val="000000"/>
          <w:sz w:val="24"/>
          <w:szCs w:val="24"/>
          <w:shd w:fill="auto" w:val="clear"/>
          <w:lang w:val="uk-UA" w:eastAsia="ru-RU" w:bidi="ar-SA"/>
        </w:rPr>
        <w:t xml:space="preserve"> року №</w:t>
      </w:r>
      <w:r>
        <w:rPr>
          <w:rFonts w:eastAsia="Times New Roman" w:cs="Times New Roman" w:ascii="Times New Roman" w:hAnsi="Times New Roman"/>
          <w:b w:val="false"/>
          <w:bCs w:val="false"/>
          <w:color w:val="000000"/>
          <w:sz w:val="24"/>
          <w:szCs w:val="24"/>
          <w:shd w:fill="auto" w:val="clear"/>
          <w:lang w:val="en-US" w:eastAsia="ru-RU" w:bidi="ar-SA"/>
        </w:rPr>
        <w:t>191</w:t>
      </w:r>
      <w:r>
        <w:rPr>
          <w:rFonts w:eastAsia="Times New Roman" w:cs="Times New Roman" w:ascii="Times New Roman" w:hAnsi="Times New Roman"/>
          <w:b w:val="false"/>
          <w:bCs w:val="false"/>
          <w:color w:val="000000"/>
          <w:sz w:val="24"/>
          <w:szCs w:val="24"/>
          <w:shd w:fill="auto" w:val="clear"/>
          <w:lang w:val="uk-UA" w:eastAsia="ru-RU" w:bidi="ar-SA"/>
        </w:rPr>
        <w:t>.</w:t>
      </w:r>
    </w:p>
    <w:p>
      <w:pPr>
        <w:pStyle w:val="Normal"/>
        <w:spacing w:lineRule="auto" w:line="276" w:before="0" w:after="0"/>
        <w:ind w:left="0" w:right="0" w:firstLine="397"/>
        <w:jc w:val="both"/>
        <w:rPr>
          <w:rFonts w:ascii="Times New Roman" w:hAnsi="Times New Roman" w:eastAsia="Times New Roman" w:cs="Times New Roman"/>
          <w:b w:val="false"/>
          <w:b w:val="false"/>
          <w:bCs w:val="false"/>
          <w:color w:val="000000"/>
          <w:sz w:val="24"/>
          <w:szCs w:val="24"/>
          <w:shd w:fill="auto" w:val="clear"/>
          <w:lang w:val="uk-UA" w:eastAsia="ru-RU" w:bidi="ar-SA"/>
        </w:rPr>
      </w:pPr>
      <w:r>
        <w:rPr>
          <w:rFonts w:eastAsia="Times New Roman" w:cs="Times New Roman" w:ascii="Times New Roman" w:hAnsi="Times New Roman"/>
          <w:b w:val="false"/>
          <w:bCs w:val="false"/>
          <w:color w:val="000000"/>
          <w:sz w:val="24"/>
          <w:szCs w:val="24"/>
          <w:shd w:fill="auto" w:val="clear"/>
          <w:lang w:val="uk-UA" w:eastAsia="ru-RU" w:bidi="ar-SA"/>
        </w:rPr>
        <w:t xml:space="preserve">Метод, застосований для розрахунку очікуваної вартості предмета закупівлі: розрахунок очікуваної вартості товарів/послуг, щодо яких проводиться державне регулювання цін і тарифів. </w:t>
      </w:r>
    </w:p>
    <w:p>
      <w:pPr>
        <w:pStyle w:val="Normal"/>
        <w:spacing w:lineRule="auto" w:line="276" w:before="0" w:after="0"/>
        <w:ind w:left="0" w:right="0" w:firstLine="397"/>
        <w:jc w:val="both"/>
        <w:rPr>
          <w:rFonts w:ascii="Times New Roman" w:hAnsi="Times New Roman" w:eastAsia="Times New Roman" w:cs="Times New Roman"/>
          <w:b w:val="false"/>
          <w:b w:val="false"/>
          <w:bCs w:val="false"/>
          <w:color w:val="000000"/>
          <w:kern w:val="0"/>
          <w:sz w:val="24"/>
          <w:szCs w:val="24"/>
          <w:shd w:fill="auto" w:val="clear"/>
          <w:lang w:val="uk-UA" w:eastAsia="ru-RU" w:bidi="ar-SA"/>
        </w:rPr>
      </w:pPr>
      <w:r>
        <w:rPr>
          <w:rFonts w:eastAsia="Times New Roman" w:cs="Times New Roman" w:ascii="Times New Roman" w:hAnsi="Times New Roman"/>
          <w:b w:val="false"/>
          <w:bCs w:val="false"/>
          <w:color w:val="000000"/>
          <w:kern w:val="0"/>
          <w:sz w:val="24"/>
          <w:szCs w:val="24"/>
          <w:shd w:fill="auto" w:val="clear"/>
          <w:lang w:val="uk-UA" w:eastAsia="ru-RU" w:bidi="ar-SA"/>
        </w:rPr>
        <w:t>Очікувана вартість закупівлі товарів/послуг, щодо яких проводиться державне регулювання цін і тарифів, визначається як добуток необхідного обсягу товарів/послуг та ціни (тарифу), затвердженої відповідним нормативно-правовим актом, розраховується за такою формулою:</w:t>
      </w:r>
    </w:p>
    <w:p>
      <w:pPr>
        <w:pStyle w:val="Style18"/>
        <w:spacing w:before="0" w:after="0"/>
        <w:jc w:val="center"/>
        <w:rPr/>
      </w:pPr>
      <w:r>
        <w:rPr>
          <w:rFonts w:eastAsia="Times New Roman" w:cs="Times New Roman" w:ascii="Times New Roman" w:hAnsi="Times New Roman"/>
          <w:b w:val="false"/>
          <w:bCs w:val="false"/>
          <w:color w:val="000000"/>
          <w:kern w:val="0"/>
          <w:sz w:val="24"/>
          <w:szCs w:val="24"/>
          <w:shd w:fill="auto" w:val="clear"/>
          <w:lang w:val="uk-UA" w:eastAsia="ru-RU" w:bidi="ar-SA"/>
        </w:rPr>
        <w:t>ОВ</w:t>
      </w:r>
      <w:r>
        <w:rPr>
          <w:rFonts w:eastAsia="Times New Roman" w:cs="Times New Roman" w:ascii="Times New Roman" w:hAnsi="Times New Roman"/>
          <w:b w:val="false"/>
          <w:bCs w:val="false"/>
          <w:color w:val="000000"/>
          <w:kern w:val="0"/>
          <w:position w:val="-7"/>
          <w:sz w:val="24"/>
          <w:szCs w:val="24"/>
          <w:shd w:fill="auto" w:val="clear"/>
          <w:lang w:val="uk-UA" w:eastAsia="ru-RU" w:bidi="ar-SA"/>
        </w:rPr>
        <w:t>рег</w:t>
      </w:r>
      <w:r>
        <w:rPr>
          <w:rFonts w:eastAsia="Times New Roman" w:cs="Times New Roman" w:ascii="Times New Roman" w:hAnsi="Times New Roman"/>
          <w:b w:val="false"/>
          <w:bCs w:val="false"/>
          <w:color w:val="000000"/>
          <w:kern w:val="0"/>
          <w:sz w:val="24"/>
          <w:szCs w:val="24"/>
          <w:shd w:fill="auto" w:val="clear"/>
          <w:lang w:val="uk-UA" w:eastAsia="ru-RU" w:bidi="ar-SA"/>
        </w:rPr>
        <w:t xml:space="preserve"> = V * Ц</w:t>
      </w:r>
      <w:r>
        <w:rPr>
          <w:rFonts w:eastAsia="Times New Roman" w:cs="Times New Roman" w:ascii="Times New Roman" w:hAnsi="Times New Roman"/>
          <w:b w:val="false"/>
          <w:bCs w:val="false"/>
          <w:color w:val="000000"/>
          <w:kern w:val="0"/>
          <w:position w:val="-7"/>
          <w:sz w:val="24"/>
          <w:szCs w:val="24"/>
          <w:shd w:fill="auto" w:val="clear"/>
          <w:lang w:val="uk-UA" w:eastAsia="ru-RU" w:bidi="ar-SA"/>
        </w:rPr>
        <w:t>тар</w:t>
      </w:r>
      <w:r>
        <w:rPr>
          <w:rFonts w:eastAsia="Times New Roman" w:cs="Times New Roman" w:ascii="Times New Roman" w:hAnsi="Times New Roman"/>
          <w:b w:val="false"/>
          <w:bCs w:val="false"/>
          <w:color w:val="000000"/>
          <w:kern w:val="0"/>
          <w:sz w:val="24"/>
          <w:szCs w:val="24"/>
          <w:shd w:fill="auto" w:val="clear"/>
          <w:lang w:val="uk-UA" w:eastAsia="ru-RU" w:bidi="ar-SA"/>
        </w:rPr>
        <w:t>,</w:t>
      </w:r>
    </w:p>
    <w:p>
      <w:pPr>
        <w:pStyle w:val="Style18"/>
        <w:spacing w:before="0" w:after="0"/>
        <w:jc w:val="both"/>
        <w:rPr>
          <w:rFonts w:ascii="Times New Roman" w:hAnsi="Times New Roman" w:eastAsia="Times New Roman" w:cs="Times New Roman"/>
          <w:b w:val="false"/>
          <w:b w:val="false"/>
          <w:bCs w:val="false"/>
          <w:color w:val="000000"/>
          <w:kern w:val="0"/>
          <w:sz w:val="24"/>
          <w:szCs w:val="24"/>
          <w:shd w:fill="auto" w:val="clear"/>
          <w:lang w:val="uk-UA" w:eastAsia="ru-RU" w:bidi="ar-SA"/>
        </w:rPr>
      </w:pPr>
      <w:r>
        <w:rPr>
          <w:rFonts w:eastAsia="Times New Roman" w:cs="Times New Roman" w:ascii="Times New Roman" w:hAnsi="Times New Roman"/>
          <w:b w:val="false"/>
          <w:bCs w:val="false"/>
          <w:color w:val="000000"/>
          <w:kern w:val="0"/>
          <w:sz w:val="24"/>
          <w:szCs w:val="24"/>
          <w:shd w:fill="auto" w:val="clear"/>
          <w:lang w:val="uk-UA" w:eastAsia="ru-RU" w:bidi="ar-SA"/>
        </w:rPr>
        <w:t>де:</w:t>
      </w:r>
    </w:p>
    <w:p>
      <w:pPr>
        <w:pStyle w:val="Style18"/>
        <w:spacing w:before="0" w:after="0"/>
        <w:jc w:val="both"/>
        <w:rPr/>
      </w:pPr>
      <w:r>
        <w:rPr>
          <w:rFonts w:eastAsia="Times New Roman" w:cs="Times New Roman" w:ascii="Times New Roman" w:hAnsi="Times New Roman"/>
          <w:b w:val="false"/>
          <w:bCs w:val="false"/>
          <w:color w:val="000000"/>
          <w:kern w:val="0"/>
          <w:sz w:val="24"/>
          <w:szCs w:val="24"/>
          <w:shd w:fill="auto" w:val="clear"/>
          <w:lang w:val="uk-UA" w:eastAsia="ru-RU" w:bidi="ar-SA"/>
        </w:rPr>
        <w:t>ОВ</w:t>
      </w:r>
      <w:r>
        <w:rPr>
          <w:rFonts w:eastAsia="Times New Roman" w:cs="Times New Roman" w:ascii="Times New Roman" w:hAnsi="Times New Roman"/>
          <w:b w:val="false"/>
          <w:bCs w:val="false"/>
          <w:color w:val="000000"/>
          <w:kern w:val="0"/>
          <w:position w:val="-7"/>
          <w:sz w:val="24"/>
          <w:szCs w:val="24"/>
          <w:shd w:fill="auto" w:val="clear"/>
          <w:lang w:val="uk-UA" w:eastAsia="ru-RU" w:bidi="ar-SA"/>
        </w:rPr>
        <w:t>рег</w:t>
      </w:r>
      <w:r>
        <w:rPr>
          <w:rFonts w:eastAsia="Times New Roman" w:cs="Times New Roman" w:ascii="Times New Roman" w:hAnsi="Times New Roman"/>
          <w:b w:val="false"/>
          <w:bCs w:val="false"/>
          <w:color w:val="000000"/>
          <w:kern w:val="0"/>
          <w:sz w:val="24"/>
          <w:szCs w:val="24"/>
          <w:shd w:fill="auto" w:val="clear"/>
          <w:lang w:val="uk-UA" w:eastAsia="ru-RU" w:bidi="ar-SA"/>
        </w:rPr>
        <w:t xml:space="preserve"> - очікувана вартість закупівлі товарів/послуг, щодо яких проводиться державне регулювання цін і тарифів;</w:t>
      </w:r>
    </w:p>
    <w:p>
      <w:pPr>
        <w:pStyle w:val="Style18"/>
        <w:spacing w:before="0" w:after="0"/>
        <w:jc w:val="both"/>
        <w:rPr>
          <w:rFonts w:ascii="Times New Roman" w:hAnsi="Times New Roman" w:eastAsia="Times New Roman" w:cs="Times New Roman"/>
          <w:b w:val="false"/>
          <w:b w:val="false"/>
          <w:bCs w:val="false"/>
          <w:color w:val="000000"/>
          <w:kern w:val="0"/>
          <w:sz w:val="24"/>
          <w:szCs w:val="24"/>
          <w:shd w:fill="auto" w:val="clear"/>
          <w:lang w:val="uk-UA" w:eastAsia="ru-RU" w:bidi="ar-SA"/>
        </w:rPr>
      </w:pPr>
      <w:r>
        <w:rPr>
          <w:rFonts w:eastAsia="Times New Roman" w:cs="Times New Roman" w:ascii="Times New Roman" w:hAnsi="Times New Roman"/>
          <w:b w:val="false"/>
          <w:bCs w:val="false"/>
          <w:color w:val="000000"/>
          <w:kern w:val="0"/>
          <w:sz w:val="24"/>
          <w:szCs w:val="24"/>
          <w:shd w:fill="auto" w:val="clear"/>
          <w:lang w:val="uk-UA" w:eastAsia="ru-RU" w:bidi="ar-SA"/>
        </w:rPr>
        <w:t>V - кількість (обсяг) товару/послуги, що закуповується;</w:t>
      </w:r>
    </w:p>
    <w:p>
      <w:pPr>
        <w:pStyle w:val="Style18"/>
        <w:spacing w:lineRule="auto" w:line="240" w:before="0" w:after="0"/>
        <w:ind w:left="0" w:right="0" w:firstLine="397"/>
        <w:jc w:val="both"/>
        <w:rPr/>
      </w:pPr>
      <w:r>
        <w:rPr>
          <w:rFonts w:eastAsia="Times New Roman" w:cs="Times New Roman" w:ascii="Times New Roman" w:hAnsi="Times New Roman"/>
          <w:b w:val="false"/>
          <w:bCs w:val="false"/>
          <w:color w:val="000000"/>
          <w:kern w:val="0"/>
          <w:sz w:val="24"/>
          <w:szCs w:val="24"/>
          <w:shd w:fill="auto" w:val="clear"/>
          <w:lang w:val="uk-UA" w:eastAsia="ru-RU" w:bidi="ar-SA"/>
        </w:rPr>
        <w:t>Ц</w:t>
      </w:r>
      <w:r>
        <w:rPr>
          <w:rFonts w:eastAsia="Times New Roman" w:cs="Times New Roman" w:ascii="Times New Roman" w:hAnsi="Times New Roman"/>
          <w:b w:val="false"/>
          <w:bCs w:val="false"/>
          <w:color w:val="000000"/>
          <w:kern w:val="0"/>
          <w:position w:val="-7"/>
          <w:sz w:val="24"/>
          <w:szCs w:val="24"/>
          <w:shd w:fill="auto" w:val="clear"/>
          <w:lang w:val="uk-UA" w:eastAsia="ru-RU" w:bidi="ar-SA"/>
        </w:rPr>
        <w:t>тар</w:t>
      </w:r>
      <w:r>
        <w:rPr>
          <w:rFonts w:eastAsia="Times New Roman" w:cs="Times New Roman" w:ascii="Times New Roman" w:hAnsi="Times New Roman"/>
          <w:b w:val="false"/>
          <w:bCs w:val="false"/>
          <w:color w:val="000000"/>
          <w:kern w:val="0"/>
          <w:sz w:val="24"/>
          <w:szCs w:val="24"/>
          <w:shd w:fill="auto" w:val="clear"/>
          <w:lang w:val="uk-UA" w:eastAsia="ru-RU" w:bidi="ar-SA"/>
        </w:rPr>
        <w:t xml:space="preserve"> - ціна (тариф) за одиницю товару/послуги, затверджена відповідним нормативно-правовим актом.</w:t>
      </w:r>
    </w:p>
    <w:p>
      <w:pPr>
        <w:pStyle w:val="Style18"/>
        <w:spacing w:lineRule="auto" w:line="240" w:before="0" w:after="0"/>
        <w:ind w:left="0" w:right="0" w:firstLine="397"/>
        <w:jc w:val="center"/>
        <w:rPr/>
      </w:pPr>
      <w:r>
        <w:rPr>
          <w:rFonts w:eastAsia="Times New Roman" w:cs="Times New Roman" w:ascii="Times New Roman" w:hAnsi="Times New Roman"/>
          <w:b w:val="false"/>
          <w:bCs w:val="false"/>
          <w:color w:val="000000"/>
          <w:kern w:val="0"/>
          <w:sz w:val="24"/>
          <w:szCs w:val="24"/>
          <w:shd w:fill="auto" w:val="clear"/>
          <w:lang w:val="uk-UA" w:eastAsia="ru-RU" w:bidi="ar-SA"/>
        </w:rPr>
        <w:t>ОВ</w:t>
      </w:r>
      <w:r>
        <w:rPr>
          <w:rFonts w:eastAsia="Times New Roman" w:cs="Times New Roman" w:ascii="Times New Roman" w:hAnsi="Times New Roman"/>
          <w:b w:val="false"/>
          <w:bCs w:val="false"/>
          <w:color w:val="000000"/>
          <w:kern w:val="0"/>
          <w:position w:val="-7"/>
          <w:sz w:val="24"/>
          <w:szCs w:val="24"/>
          <w:shd w:fill="auto" w:val="clear"/>
          <w:lang w:val="uk-UA" w:eastAsia="ru-RU" w:bidi="ar-SA"/>
        </w:rPr>
        <w:t>рег</w:t>
      </w:r>
      <w:r>
        <w:rPr>
          <w:rFonts w:eastAsia="Times New Roman" w:cs="Times New Roman" w:ascii="Times New Roman" w:hAnsi="Times New Roman"/>
          <w:b w:val="false"/>
          <w:bCs w:val="false"/>
          <w:color w:val="000000"/>
          <w:kern w:val="0"/>
          <w:sz w:val="24"/>
          <w:szCs w:val="24"/>
          <w:shd w:fill="auto" w:val="clear"/>
          <w:lang w:val="uk-UA" w:eastAsia="ru-RU" w:bidi="ar-SA"/>
        </w:rPr>
        <w:t xml:space="preserve"> =73180*1,41880=103 827,784 грн без ПДВ+20%ПДВ = </w:t>
      </w:r>
      <w:r>
        <w:rPr>
          <w:rFonts w:eastAsia="Times New Roman" w:cs="Times New Roman" w:ascii="Times New Roman" w:hAnsi="Times New Roman"/>
          <w:b w:val="false"/>
          <w:bCs w:val="false"/>
          <w:color w:val="000000"/>
          <w:kern w:val="0"/>
          <w:sz w:val="24"/>
          <w:szCs w:val="24"/>
          <w:shd w:fill="auto" w:val="clear"/>
          <w:lang w:val="en-US" w:eastAsia="ru-RU" w:bidi="ar-SA"/>
        </w:rPr>
        <w:t>124 593,34</w:t>
      </w:r>
      <w:r>
        <w:rPr>
          <w:rFonts w:eastAsia="Times New Roman" w:cs="Times New Roman" w:ascii="Times New Roman" w:hAnsi="Times New Roman"/>
          <w:b w:val="false"/>
          <w:bCs w:val="false"/>
          <w:color w:val="000000"/>
          <w:kern w:val="0"/>
          <w:sz w:val="24"/>
          <w:szCs w:val="24"/>
          <w:shd w:fill="auto" w:val="clear"/>
          <w:lang w:val="uk-UA" w:eastAsia="ru-RU" w:bidi="ar-SA"/>
        </w:rPr>
        <w:t xml:space="preserve"> грн з ПДВ</w:t>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b w:val="false"/>
          <w:b w:val="false"/>
          <w:bCs w:val="false"/>
          <w:sz w:val="24"/>
          <w:szCs w:val="24"/>
          <w:lang w:val="uk-UA" w:bidi="ar-SA"/>
        </w:rPr>
      </w:pPr>
      <w:r>
        <w:rPr>
          <w:rFonts w:ascii="Times New Roman" w:hAnsi="Times New Roman"/>
          <w:b w:val="false"/>
          <w:bCs w:val="false"/>
          <w:sz w:val="24"/>
          <w:szCs w:val="24"/>
          <w:lang w:val="uk-UA" w:bidi="ar-SA"/>
        </w:rPr>
        <w:t>Начальник відділу адміністративно-</w:t>
      </w:r>
    </w:p>
    <w:p>
      <w:pPr>
        <w:pStyle w:val="Normal"/>
        <w:spacing w:before="0" w:after="0"/>
        <w:rPr>
          <w:rFonts w:ascii="Times New Roman" w:hAnsi="Times New Roman"/>
          <w:b w:val="false"/>
          <w:b w:val="false"/>
          <w:bCs w:val="false"/>
          <w:sz w:val="24"/>
          <w:szCs w:val="24"/>
          <w:lang w:val="uk-UA" w:bidi="ar-SA"/>
        </w:rPr>
      </w:pPr>
      <w:r>
        <w:rPr>
          <w:rFonts w:ascii="Times New Roman" w:hAnsi="Times New Roman"/>
          <w:b w:val="false"/>
          <w:bCs w:val="false"/>
          <w:sz w:val="24"/>
          <w:szCs w:val="24"/>
          <w:lang w:val="uk-UA" w:bidi="ar-SA"/>
        </w:rPr>
        <w:t>господарської роботи</w:t>
        <w:tab/>
        <w:tab/>
        <w:tab/>
        <w:tab/>
        <w:tab/>
        <w:tab/>
        <w:tab/>
        <w:t>Дмитро ХІЛЬКО</w:t>
      </w:r>
    </w:p>
    <w:p>
      <w:pPr>
        <w:pStyle w:val="Normal"/>
        <w:spacing w:before="0" w:after="0"/>
        <w:rPr>
          <w:rFonts w:ascii="Times New Roman" w:hAnsi="Times New Roman"/>
          <w:b w:val="false"/>
          <w:b w:val="false"/>
          <w:bCs w:val="false"/>
          <w:sz w:val="24"/>
          <w:szCs w:val="24"/>
          <w:lang w:val="uk-UA" w:bidi="ar-SA"/>
        </w:rPr>
      </w:pPr>
      <w:r>
        <w:rPr>
          <w:rFonts w:ascii="Times New Roman" w:hAnsi="Times New Roman"/>
          <w:b w:val="false"/>
          <w:bCs w:val="false"/>
          <w:sz w:val="24"/>
          <w:szCs w:val="24"/>
          <w:lang w:val="uk-UA" w:bidi="ar-SA"/>
        </w:rPr>
      </w:r>
    </w:p>
    <w:p>
      <w:pPr>
        <w:pStyle w:val="Normal"/>
        <w:spacing w:before="0" w:after="0"/>
        <w:rPr>
          <w:rFonts w:ascii="Times New Roman" w:hAnsi="Times New Roman"/>
          <w:b w:val="false"/>
          <w:b w:val="false"/>
          <w:bCs w:val="false"/>
          <w:sz w:val="24"/>
          <w:szCs w:val="24"/>
          <w:lang w:val="uk-UA" w:bidi="ar-SA"/>
        </w:rPr>
      </w:pPr>
      <w:r>
        <w:rPr>
          <w:rFonts w:ascii="Times New Roman" w:hAnsi="Times New Roman"/>
          <w:b w:val="false"/>
          <w:bCs w:val="false"/>
          <w:sz w:val="24"/>
          <w:szCs w:val="24"/>
          <w:lang w:val="uk-UA" w:bidi="ar-SA"/>
        </w:rPr>
        <w:t>ПОГОДЖЕНО:</w:t>
      </w:r>
    </w:p>
    <w:p>
      <w:pPr>
        <w:pStyle w:val="Normal"/>
        <w:spacing w:before="0" w:after="0"/>
        <w:rPr>
          <w:rFonts w:ascii="Times New Roman" w:hAnsi="Times New Roman"/>
          <w:b w:val="false"/>
          <w:b w:val="false"/>
          <w:bCs w:val="false"/>
          <w:sz w:val="12"/>
          <w:szCs w:val="12"/>
          <w:lang w:val="uk-UA" w:bidi="ar-SA"/>
        </w:rPr>
      </w:pPr>
      <w:r>
        <w:rPr>
          <w:rFonts w:ascii="Times New Roman" w:hAnsi="Times New Roman"/>
          <w:b w:val="false"/>
          <w:bCs w:val="false"/>
          <w:sz w:val="12"/>
          <w:szCs w:val="12"/>
          <w:lang w:val="uk-UA" w:bidi="ar-SA"/>
        </w:rPr>
      </w:r>
    </w:p>
    <w:p>
      <w:pPr>
        <w:pStyle w:val="Normal"/>
        <w:spacing w:before="0" w:after="0"/>
        <w:rPr>
          <w:rFonts w:ascii="Times New Roman" w:hAnsi="Times New Roman"/>
          <w:b w:val="false"/>
          <w:b w:val="false"/>
          <w:bCs w:val="false"/>
          <w:sz w:val="24"/>
          <w:szCs w:val="24"/>
          <w:lang w:val="uk-UA" w:bidi="ar-SA"/>
        </w:rPr>
      </w:pPr>
      <w:r>
        <w:rPr>
          <w:rFonts w:ascii="Times New Roman" w:hAnsi="Times New Roman"/>
          <w:b w:val="false"/>
          <w:bCs w:val="false"/>
          <w:sz w:val="24"/>
          <w:szCs w:val="24"/>
          <w:lang w:val="uk-UA" w:bidi="ar-SA"/>
        </w:rPr>
        <w:t xml:space="preserve">Начальник відділу фінансової </w:t>
      </w:r>
    </w:p>
    <w:p>
      <w:pPr>
        <w:pStyle w:val="Normal"/>
        <w:spacing w:before="0" w:after="0"/>
        <w:rPr>
          <w:rFonts w:ascii="Times New Roman" w:hAnsi="Times New Roman"/>
          <w:b w:val="false"/>
          <w:b w:val="false"/>
          <w:bCs w:val="false"/>
          <w:sz w:val="24"/>
          <w:szCs w:val="24"/>
          <w:lang w:val="uk-UA" w:bidi="ar-SA"/>
        </w:rPr>
      </w:pPr>
      <w:r>
        <w:rPr>
          <w:rFonts w:ascii="Times New Roman" w:hAnsi="Times New Roman"/>
          <w:b w:val="false"/>
          <w:bCs w:val="false"/>
          <w:sz w:val="24"/>
          <w:szCs w:val="24"/>
          <w:lang w:val="uk-UA" w:bidi="ar-SA"/>
        </w:rPr>
        <w:t>роботи — головний бухгалтер</w:t>
        <w:tab/>
        <w:tab/>
        <w:tab/>
        <w:tab/>
        <w:tab/>
        <w:tab/>
        <w:t>Наталія КУЗЬМЕНКО</w:t>
      </w:r>
    </w:p>
    <w:p>
      <w:pPr>
        <w:pStyle w:val="Normal"/>
        <w:spacing w:before="0" w:after="0"/>
        <w:rPr>
          <w:b w:val="false"/>
          <w:b w:val="false"/>
          <w:bCs w:val="false"/>
          <w:sz w:val="12"/>
          <w:szCs w:val="12"/>
          <w:lang w:val="uk-UA" w:bidi="ar-SA"/>
        </w:rPr>
      </w:pPr>
      <w:r>
        <w:rPr>
          <w:b w:val="false"/>
          <w:bCs w:val="false"/>
          <w:sz w:val="12"/>
          <w:szCs w:val="12"/>
          <w:lang w:val="uk-UA" w:bidi="ar-SA"/>
        </w:rPr>
      </w:r>
    </w:p>
    <w:p>
      <w:pPr>
        <w:pStyle w:val="Normal"/>
        <w:spacing w:before="0" w:after="0"/>
        <w:rPr>
          <w:b w:val="false"/>
          <w:b w:val="false"/>
          <w:bCs w:val="false"/>
          <w:sz w:val="24"/>
          <w:szCs w:val="24"/>
          <w:lang w:val="uk-UA" w:bidi="ar-SA"/>
        </w:rPr>
      </w:pPr>
      <w:r>
        <w:rPr>
          <w:b w:val="false"/>
          <w:bCs w:val="false"/>
          <w:sz w:val="24"/>
          <w:szCs w:val="24"/>
          <w:lang w:val="uk-UA" w:bidi="ar-SA"/>
        </w:rPr>
      </w:r>
    </w:p>
    <w:p>
      <w:pPr>
        <w:pStyle w:val="Normal"/>
        <w:spacing w:before="0" w:after="0"/>
        <w:rPr/>
      </w:pPr>
      <w:r>
        <w:rPr/>
      </w:r>
    </w:p>
    <w:sectPr>
      <w:type w:val="nextPage"/>
      <w:pgSz w:w="11906" w:h="16838"/>
      <w:pgMar w:left="1417" w:right="622" w:header="0" w:top="567" w:footer="0" w:bottom="85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86" w:hanging="360"/>
      </w:pPr>
      <w:rPr>
        <w:sz w:val="24"/>
        <w:b/>
        <w:szCs w:val="24"/>
        <w:rFonts w:ascii="Times New Roman" w:hAnsi="Times New Roman"/>
        <w:color w:val="auto"/>
      </w:rPr>
    </w:lvl>
    <w:lvl w:ilvl="1">
      <w:start w:val="1"/>
      <w:numFmt w:val="lowerLetter"/>
      <w:lvlText w:val="%1.%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3.%4"/>
      <w:lvlJc w:val="left"/>
      <w:pPr>
        <w:tabs>
          <w:tab w:val="num" w:pos="0"/>
        </w:tabs>
        <w:ind w:left="3447" w:hanging="360"/>
      </w:pPr>
    </w:lvl>
    <w:lvl w:ilvl="4">
      <w:start w:val="1"/>
      <w:numFmt w:val="lowerLetter"/>
      <w:lvlText w:val="%4.%5"/>
      <w:lvlJc w:val="left"/>
      <w:pPr>
        <w:tabs>
          <w:tab w:val="num" w:pos="0"/>
        </w:tabs>
        <w:ind w:left="4167" w:hanging="360"/>
      </w:pPr>
    </w:lvl>
    <w:lvl w:ilvl="5">
      <w:start w:val="1"/>
      <w:numFmt w:val="lowerRoman"/>
      <w:lvlText w:val="%5.%6"/>
      <w:lvlJc w:val="right"/>
      <w:pPr>
        <w:tabs>
          <w:tab w:val="num" w:pos="0"/>
        </w:tabs>
        <w:ind w:left="4887" w:hanging="180"/>
      </w:pPr>
    </w:lvl>
    <w:lvl w:ilvl="6">
      <w:start w:val="1"/>
      <w:numFmt w:val="decimal"/>
      <w:lvlText w:val="%6.%7"/>
      <w:lvlJc w:val="left"/>
      <w:pPr>
        <w:tabs>
          <w:tab w:val="num" w:pos="0"/>
        </w:tabs>
        <w:ind w:left="5607" w:hanging="360"/>
      </w:pPr>
    </w:lvl>
    <w:lvl w:ilvl="7">
      <w:start w:val="1"/>
      <w:numFmt w:val="lowerLetter"/>
      <w:lvlText w:val="%7.%8"/>
      <w:lvlJc w:val="left"/>
      <w:pPr>
        <w:tabs>
          <w:tab w:val="num" w:pos="0"/>
        </w:tabs>
        <w:ind w:left="6327" w:hanging="360"/>
      </w:pPr>
    </w:lvl>
    <w:lvl w:ilvl="8">
      <w:start w:val="1"/>
      <w:numFmt w:val="lowerRoman"/>
      <w:lvlText w:val="%8.%9"/>
      <w:lvlJc w:val="right"/>
      <w:pPr>
        <w:tabs>
          <w:tab w:val="num" w:pos="0"/>
        </w:tabs>
        <w:ind w:left="7047"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uk-UA"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ahoma"/>
      <w:color w:val="auto"/>
      <w:kern w:val="0"/>
      <w:sz w:val="22"/>
      <w:szCs w:val="22"/>
      <w:lang w:val="uk-UA" w:eastAsia="en-US" w:bidi="ar-SA"/>
    </w:rPr>
  </w:style>
  <w:style w:type="character" w:styleId="DefaultParagraphFont">
    <w:name w:val="Default Paragraph Font"/>
    <w:qFormat/>
    <w:rPr/>
  </w:style>
  <w:style w:type="character" w:styleId="Style14">
    <w:name w:val="Абзац списка Знак"/>
    <w:qFormat/>
    <w:rPr>
      <w:rFonts w:ascii="Calibri" w:hAnsi="Calibri" w:eastAsia="Calibri" w:cs="Times New Roman"/>
    </w:rPr>
  </w:style>
  <w:style w:type="character" w:styleId="Qacpvclassifier">
    <w:name w:val="qa_cpv_classifier"/>
    <w:basedOn w:val="DefaultParagraphFont"/>
    <w:qFormat/>
    <w:rPr>
      <w:rFonts w:cs="Times New Roman"/>
    </w:rPr>
  </w:style>
  <w:style w:type="character" w:styleId="Style15">
    <w:name w:val="Гіперпосилання"/>
    <w:basedOn w:val="DefaultParagraphFont"/>
    <w:rPr>
      <w:color w:val="0000FF"/>
      <w:u w:val="single"/>
    </w:rPr>
  </w:style>
  <w:style w:type="character" w:styleId="Stageinfoitem">
    <w:name w:val="stage-info-item"/>
    <w:basedOn w:val="DefaultParagraphFont"/>
    <w:qFormat/>
    <w:rPr/>
  </w:style>
  <w:style w:type="character" w:styleId="Rvts23">
    <w:name w:val="rvts23"/>
    <w:qFormat/>
    <w:rPr>
      <w:rFonts w:ascii="Times New Roman" w:hAnsi="Times New Roman" w:cs="Times New Roman"/>
    </w:rPr>
  </w:style>
  <w:style w:type="character" w:styleId="Style16">
    <w:name w:val="Символ нумерації"/>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Style22">
    <w:name w:val="Указатель"/>
    <w:basedOn w:val="Normal"/>
    <w:qFormat/>
    <w:pPr>
      <w:suppressLineNumbers/>
    </w:pPr>
    <w:rPr>
      <w:rFonts w:cs="Arial"/>
    </w:rPr>
  </w:style>
  <w:style w:type="paragraph" w:styleId="ListParagraph">
    <w:name w:val="List Paragraph"/>
    <w:basedOn w:val="Normal"/>
    <w:qFormat/>
    <w:pPr>
      <w:spacing w:before="0" w:after="200"/>
      <w:ind w:left="720" w:right="0" w:hanging="0"/>
      <w:contextualSpacing/>
    </w:pPr>
    <w:rPr>
      <w:rFonts w:ascii="Calibri" w:hAnsi="Calibri" w:eastAsia="Calibri" w:cs="Times New Roman"/>
    </w:rPr>
  </w:style>
  <w:style w:type="paragraph" w:styleId="1">
    <w:name w:val="Абзац списка1"/>
    <w:basedOn w:val="Normal"/>
    <w:qFormat/>
    <w:pPr>
      <w:spacing w:lineRule="auto" w:line="252" w:before="0" w:after="160"/>
    </w:pPr>
    <w:rPr>
      <w:rFonts w:ascii="Calibri" w:hAnsi="Calibri" w:cs="font186"/>
      <w:kern w:val="2"/>
      <w:lang w:eastAsia="zh-CN"/>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val="ru-RU" w:eastAsia="zh-CN"/>
    </w:rPr>
  </w:style>
  <w:style w:type="paragraph" w:styleId="Style23">
    <w:name w:val="Обычный (веб)"/>
    <w:basedOn w:val="Normal"/>
    <w:qFormat/>
    <w:pPr>
      <w:spacing w:before="280" w:after="280"/>
    </w:pPr>
    <w:rPr/>
  </w:style>
  <w:style w:type="paragraph" w:styleId="BodyText21">
    <w:name w:val="Body Text 21"/>
    <w:basedOn w:val="Normal"/>
    <w:qFormat/>
    <w:pPr/>
    <w:rPr>
      <w:szCs w:val="20"/>
    </w:rPr>
  </w:style>
  <w:style w:type="paragraph" w:styleId="Style24">
    <w:name w:val="Вміст таблиці"/>
    <w:basedOn w:val="Normal"/>
    <w:qFormat/>
    <w:pPr>
      <w:widowControl w:val="false"/>
      <w:suppressLineNumbers/>
    </w:pPr>
    <w:rPr/>
  </w:style>
  <w:style w:type="paragraph" w:styleId="Style25">
    <w:name w:val="Заголовок таблиці"/>
    <w:basedOn w:val="Style24"/>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242</TotalTime>
  <Application>LibreOffice/7.1.2.2$Windows_X86_64 LibreOffice_project/8a45595d069ef5570103caea1b71cc9d82b2aae4</Application>
  <AppVersion>15.0000</AppVersion>
  <Pages>2</Pages>
  <Words>1001</Words>
  <Characters>7149</Characters>
  <CharactersWithSpaces>8143</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2021-01-22T09:46:00Z</dcterms:created>
  <dc:creator>2800-shvetss</dc:creator>
  <dc:description/>
  <dc:language>uk-UA</dc:language>
  <cp:lastModifiedBy/>
  <dcterms:modified xsi:type="dcterms:W3CDTF">2023-01-31T16:44:49Z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