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ascii="Times New Roman" w:cs="Times New Roman" w:hAnsi="Times New Roman"/>
          <w:b/>
          <w:sz w:val="24"/>
          <w:szCs w:val="24"/>
          <w:lang w:val="uk-UA"/>
        </w:rPr>
        <w:t xml:space="preserve">Управління Державної казначейської служби України </w:t>
      </w:r>
    </w:p>
    <w:p>
      <w:pPr>
        <w:pStyle w:val="style0"/>
        <w:spacing w:after="0" w:before="0" w:line="100" w:lineRule="atLeast"/>
        <w:contextualSpacing w:val="false"/>
        <w:jc w:val="center"/>
      </w:pPr>
      <w:r>
        <w:rPr>
          <w:rFonts w:ascii="Times New Roman" w:cs="Times New Roman" w:hAnsi="Times New Roman"/>
          <w:b/>
          <w:sz w:val="24"/>
          <w:szCs w:val="24"/>
          <w:lang w:val="uk-UA"/>
        </w:rPr>
        <w:t xml:space="preserve">у Радомишльському районі Житомирської області </w:t>
      </w:r>
    </w:p>
    <w:p>
      <w:pPr>
        <w:pStyle w:val="style0"/>
        <w:spacing w:after="0" w:before="0" w:line="100" w:lineRule="atLeast"/>
        <w:contextualSpacing w:val="false"/>
        <w:jc w:val="center"/>
      </w:pPr>
      <w:r>
        <w:rPr>
          <w:rFonts w:ascii="Times New Roman" w:cs="Times New Roman" w:hAnsi="Times New Roman"/>
          <w:i/>
          <w:sz w:val="24"/>
          <w:szCs w:val="24"/>
          <w:lang w:val="uk-UA"/>
        </w:rPr>
        <w:t>(назва замовника)</w:t>
      </w:r>
    </w:p>
    <w:p>
      <w:pPr>
        <w:pStyle w:val="style0"/>
        <w:spacing w:after="0" w:before="0" w:line="100" w:lineRule="atLeast"/>
        <w:contextualSpacing w:val="false"/>
      </w:pPr>
      <w:r>
        <w:rPr/>
      </w:r>
    </w:p>
    <w:p>
      <w:pPr>
        <w:pStyle w:val="style0"/>
        <w:spacing w:after="0" w:before="0" w:line="100" w:lineRule="atLeast"/>
        <w:contextualSpacing w:val="false"/>
        <w:jc w:val="center"/>
      </w:pPr>
      <w:r>
        <w:rPr>
          <w:rFonts w:ascii="Times New Roman" w:cs="Times New Roman" w:hAnsi="Times New Roman"/>
          <w:b/>
          <w:sz w:val="24"/>
          <w:szCs w:val="24"/>
          <w:lang w:val="uk-UA"/>
        </w:rPr>
        <w:t>ОБҐРУНТУВАННЯ</w:t>
      </w:r>
    </w:p>
    <w:p>
      <w:pPr>
        <w:pStyle w:val="style0"/>
        <w:spacing w:after="0" w:before="0" w:line="100" w:lineRule="atLeast"/>
        <w:contextualSpacing w:val="false"/>
        <w:jc w:val="center"/>
      </w:pPr>
      <w:r>
        <w:rPr>
          <w:rFonts w:ascii="Times New Roman" w:cs="Times New Roman" w:hAnsi="Times New Roman"/>
          <w:b/>
          <w:sz w:val="24"/>
          <w:szCs w:val="24"/>
          <w:lang w:val="uk-UA"/>
        </w:rPr>
        <w:t>технічних та якісних характеристик закупівлі електричної енергії, розміру бюджетного призначення, очікуваної вартості предмета закупівлі</w:t>
      </w:r>
    </w:p>
    <w:p>
      <w:pPr>
        <w:pStyle w:val="style0"/>
        <w:spacing w:after="0" w:before="0" w:line="100" w:lineRule="atLeast"/>
        <w:contextualSpacing w:val="false"/>
        <w:jc w:val="center"/>
      </w:pPr>
      <w:r>
        <w:rPr>
          <w:rFonts w:ascii="Times New Roman" w:cs="Times New Roman" w:hAnsi="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pPr>
        <w:pStyle w:val="style0"/>
        <w:spacing w:after="0" w:before="0" w:line="100" w:lineRule="atLeast"/>
        <w:contextualSpacing w:val="false"/>
        <w:jc w:val="center"/>
      </w:pPr>
      <w:r>
        <w:rPr/>
      </w:r>
    </w:p>
    <w:p>
      <w:pPr>
        <w:pStyle w:val="style0"/>
        <w:spacing w:after="0" w:before="0" w:line="100" w:lineRule="atLeast"/>
        <w:ind w:firstLine="567" w:left="0" w:right="0"/>
        <w:contextualSpacing w:val="false"/>
        <w:jc w:val="both"/>
      </w:pPr>
      <w:r>
        <w:rPr>
          <w:rFonts w:ascii="Times New Roman" w:cs="Times New Roman" w:hAnsi="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Pr>
          <w:rFonts w:ascii="Times New Roman" w:cs="Times New Roman" w:hAnsi="Times New Roman"/>
          <w:sz w:val="24"/>
          <w:szCs w:val="24"/>
          <w:lang w:val="uk-UA"/>
        </w:rPr>
        <w:t>:</w:t>
      </w:r>
    </w:p>
    <w:p>
      <w:pPr>
        <w:pStyle w:val="style0"/>
        <w:spacing w:after="0" w:before="0" w:line="100" w:lineRule="atLeast"/>
        <w:ind w:firstLine="567" w:left="0" w:right="0"/>
        <w:contextualSpacing w:val="false"/>
        <w:jc w:val="both"/>
      </w:pPr>
      <w:r>
        <w:rPr>
          <w:rFonts w:ascii="Times New Roman" w:hAnsi="Times New Roman"/>
          <w:sz w:val="24"/>
          <w:szCs w:val="24"/>
          <w:lang w:val="uk-UA"/>
        </w:rPr>
        <w:t xml:space="preserve">Управління Державної казначейської служби України у Радомишльському районі Житомирської області </w:t>
      </w:r>
      <w:r>
        <w:rPr>
          <w:rFonts w:ascii="Times New Roman" w:hAnsi="Times New Roman"/>
          <w:color w:val="00000A"/>
          <w:sz w:val="24"/>
          <w:szCs w:val="24"/>
          <w:lang w:val="uk-UA"/>
        </w:rPr>
        <w:t xml:space="preserve">(далі – </w:t>
      </w:r>
      <w:r>
        <w:rPr>
          <w:rFonts w:ascii="Times New Roman" w:hAnsi="Times New Roman"/>
          <w:bCs/>
          <w:color w:val="00000A"/>
          <w:sz w:val="24"/>
          <w:szCs w:val="24"/>
          <w:lang w:val="uk-UA"/>
        </w:rPr>
        <w:t>Замовник</w:t>
      </w:r>
      <w:r>
        <w:rPr>
          <w:rFonts w:ascii="Times New Roman" w:hAnsi="Times New Roman"/>
          <w:color w:val="00000A"/>
          <w:sz w:val="24"/>
          <w:szCs w:val="24"/>
          <w:lang w:val="uk-UA"/>
        </w:rPr>
        <w:t>).</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Юр. адреса: 122201, Житомирська обл., м.Радомишль, вул. 9-го Січня , буд. 2-А.</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Код ЄДРПОУ :38015379</w:t>
      </w:r>
    </w:p>
    <w:p>
      <w:pPr>
        <w:pStyle w:val="style0"/>
        <w:spacing w:after="0" w:before="0" w:line="100" w:lineRule="atLeast"/>
        <w:ind w:firstLine="567" w:left="0" w:right="0"/>
        <w:contextualSpacing w:val="false"/>
        <w:jc w:val="both"/>
      </w:pPr>
      <w:r>
        <w:rPr>
          <w:rFonts w:ascii="Times New Roman" w:cs="Times New Roman" w:hAnsi="Times New Roman"/>
          <w:b/>
          <w:i/>
          <w:sz w:val="24"/>
          <w:szCs w:val="24"/>
          <w:lang w:val="uk-UA"/>
        </w:rPr>
        <w:t>Назва предмета закупівлі</w:t>
      </w:r>
      <w:r>
        <w:rPr>
          <w:rFonts w:ascii="Times New Roman" w:cs="Times New Roman" w:hAnsi="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Електрична енергія (ДК 021:2015 – 09310000-5 «Електрична енергія»).</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Деталізований CPV код (у т.ч. для лотів) та його назва ДК 021:2015 - 09310000-5 – Електрична енергія</w:t>
      </w:r>
    </w:p>
    <w:p>
      <w:pPr>
        <w:pStyle w:val="style0"/>
        <w:spacing w:after="0" w:before="0" w:line="100" w:lineRule="atLeast"/>
        <w:ind w:firstLine="567" w:left="0" w:right="0"/>
        <w:contextualSpacing w:val="false"/>
        <w:jc w:val="both"/>
      </w:pPr>
      <w:r>
        <w:rPr>
          <w:rFonts w:ascii="Times New Roman" w:cs="Times New Roman" w:hAnsi="Times New Roman"/>
          <w:b/>
          <w:i/>
          <w:sz w:val="24"/>
          <w:szCs w:val="24"/>
          <w:lang w:val="uk-UA"/>
        </w:rPr>
        <w:t>Вид процедури закупівлі:</w:t>
      </w:r>
      <w:r>
        <w:rPr>
          <w:rFonts w:ascii="Times New Roman" w:cs="Times New Roman" w:hAnsi="Times New Roman"/>
          <w:b/>
          <w:sz w:val="24"/>
          <w:szCs w:val="24"/>
          <w:lang w:val="uk-UA"/>
        </w:rPr>
        <w:t>відкриті торги</w:t>
      </w:r>
      <w:r>
        <w:rPr>
          <w:rFonts w:ascii="Times New Roman" w:cs="Times New Roman" w:hAnsi="Times New Roman"/>
          <w:sz w:val="24"/>
          <w:szCs w:val="24"/>
          <w:lang w:val="uk-UA"/>
        </w:rPr>
        <w:t xml:space="preserve"> у відповідності до Постанови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 xml:space="preserve">Очікувана вартість та обґрунтування очікуваної вартості предмета закупівлі: </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 xml:space="preserve">Визначення очікуваної вартості предмета закупівлі обумовлено аналізом споживання (річного та місячного) обсягу електричної енергії за календарний рік (бюджетний період) </w:t>
      </w:r>
      <w:r>
        <w:rPr>
          <w:rFonts w:ascii="Times New Roman" w:cs="Times New Roman" w:hAnsi="Times New Roman"/>
          <w:b/>
          <w:sz w:val="24"/>
          <w:szCs w:val="24"/>
          <w:lang w:val="uk-UA"/>
        </w:rPr>
        <w:t>2024 року</w:t>
      </w:r>
      <w:r>
        <w:rPr>
          <w:rFonts w:ascii="Times New Roman" w:cs="Times New Roman" w:hAnsi="Times New Roman"/>
          <w:sz w:val="24"/>
          <w:szCs w:val="24"/>
          <w:lang w:val="uk-UA"/>
        </w:rPr>
        <w:t xml:space="preserve">.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а також моніторингом динаміки цін на офіційному веб-сайті ДП «Оператор ринку» за посиланням </w:t>
      </w:r>
      <w:hyperlink r:id="rId2">
        <w:r>
          <w:rPr>
            <w:rStyle w:val="style16"/>
            <w:rStyle w:val="style16"/>
            <w:rFonts w:ascii="Times New Roman" w:cs="Times New Roman" w:hAnsi="Times New Roman"/>
            <w:sz w:val="24"/>
            <w:szCs w:val="24"/>
            <w:lang w:val="uk-UA"/>
          </w:rPr>
          <w:t>https://www.oree.com.ua/</w:t>
        </w:r>
      </w:hyperlink>
      <w:r>
        <w:rPr>
          <w:rFonts w:ascii="Times New Roman" w:cs="Times New Roman" w:hAnsi="Times New Roman"/>
          <w:sz w:val="24"/>
          <w:szCs w:val="24"/>
          <w:lang w:val="uk-UA"/>
        </w:rPr>
        <w:t xml:space="preserve"> в розділі «Середньозважені ціни ВДР та РДН».</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 xml:space="preserve">При цьому розрахунок очікуваної вартості проводився згідно з аналізом цін електропостачальників на електричну енергію на дату формування очікуваної вартості предмета закупівлі, що оприлюднені на веб-сайтах та прейскурантах цін (комерційних пропозицій) у вільному доступі. До ціни електричної енергії включена вартість електричної енергії, закупованої електропостачальником на оптовому ринку електричної енергії (внутрішньодобовому ринку або ринку електричної енергії на добу наперед), послуги з передачі електричної енергії, націнка електропостачальника та всі визначені законодавством податки та збори. При цьому була врахована </w:t>
      </w:r>
      <w:bookmarkStart w:id="0" w:name="__DdeLink__107_1889076125"/>
      <w:r>
        <w:rPr>
          <w:rFonts w:ascii="Times New Roman" w:cs="Times New Roman" w:hAnsi="Times New Roman"/>
          <w:sz w:val="24"/>
          <w:szCs w:val="24"/>
          <w:lang w:val="uk-UA"/>
        </w:rPr>
        <w:t>Постанова НКРЕКП №2099 від 09.11.2023 року,</w:t>
      </w:r>
      <w:bookmarkEnd w:id="0"/>
      <w:r>
        <w:rPr>
          <w:rFonts w:ascii="Times New Roman" w:cs="Times New Roman" w:hAnsi="Times New Roman"/>
          <w:sz w:val="24"/>
          <w:szCs w:val="24"/>
          <w:lang w:val="uk-UA"/>
        </w:rPr>
        <w:t xml:space="preserve"> де було збільшено граничні ціни на ринку “доба на перед” (РДН) та внутрішньо добовому ринку (ВДР) в об</w:t>
      </w:r>
      <w:r>
        <w:rPr>
          <w:rFonts w:ascii="Times New Roman" w:cs="Times New Roman" w:hAnsi="Times New Roman"/>
          <w:sz w:val="24"/>
          <w:szCs w:val="24"/>
          <w:lang w:val="en-US"/>
        </w:rPr>
        <w:t>'</w:t>
      </w:r>
      <w:r>
        <w:rPr>
          <w:rFonts w:ascii="Times New Roman" w:cs="Times New Roman" w:hAnsi="Times New Roman"/>
          <w:sz w:val="24"/>
          <w:szCs w:val="24"/>
          <w:lang w:val="uk-UA"/>
        </w:rPr>
        <w:t>єднаній енергетичній системі України (ОЕС) х 01.12.2023 року. Вищевказаний чинник прогнозовано вплине</w:t>
      </w:r>
      <w:r>
        <w:rPr>
          <w:rFonts w:ascii="Times New Roman" w:cs="Times New Roman" w:hAnsi="Times New Roman"/>
          <w:sz w:val="24"/>
          <w:szCs w:val="24"/>
          <w:lang w:val="en-US"/>
        </w:rPr>
        <w:t xml:space="preserve"> </w:t>
      </w:r>
      <w:r>
        <w:rPr>
          <w:rFonts w:ascii="Times New Roman" w:cs="Times New Roman" w:hAnsi="Times New Roman"/>
          <w:sz w:val="24"/>
          <w:szCs w:val="24"/>
          <w:lang w:val="uk-UA"/>
        </w:rPr>
        <w:t xml:space="preserve">на формування закупівельної ціни електричної енергії, зокрема зростання середньозважених ціни на РДН та ВДР </w:t>
      </w:r>
      <w:r>
        <w:rPr>
          <w:rFonts w:ascii="Times New Roman" w:cs="Times New Roman" w:hAnsi="Times New Roman"/>
          <w:sz w:val="24"/>
          <w:szCs w:val="24"/>
          <w:lang w:val="en-US"/>
        </w:rPr>
        <w:t>в</w:t>
      </w:r>
      <w:r>
        <w:rPr>
          <w:rFonts w:ascii="Times New Roman" w:cs="Times New Roman" w:hAnsi="Times New Roman"/>
          <w:sz w:val="24"/>
          <w:szCs w:val="24"/>
          <w:lang w:val="uk-UA"/>
        </w:rPr>
        <w:t xml:space="preserve"> ОЕС України. Згідно Постанови , на балансуючому ринку: максимальна гранична ціна — 125% від ціни РДН, визначеної оператором ринку для кожного розрахункового періоду відповідної доби постачання.</w:t>
      </w:r>
    </w:p>
    <w:p>
      <w:pPr>
        <w:pStyle w:val="style0"/>
      </w:pPr>
      <w:r>
        <w:rPr>
          <w:rFonts w:ascii="Times New Roman" w:hAnsi="Times New Roman"/>
          <w:sz w:val="24"/>
          <w:szCs w:val="24"/>
        </w:rPr>
        <w:tab/>
        <w:t>Очікувана вартість, яка визначається на підставі цін попередніх закупівель, розраховується за такою формулою:</w:t>
      </w:r>
    </w:p>
    <w:p>
      <w:pPr>
        <w:pStyle w:val="style0"/>
        <w:spacing w:line="100" w:lineRule="atLeast"/>
      </w:pPr>
      <w:r>
        <w:rPr>
          <w:rFonts w:ascii="Times New Roman" w:hAnsi="Times New Roman"/>
          <w:sz w:val="24"/>
          <w:szCs w:val="24"/>
        </w:rPr>
        <w:t>ОВ i = V * Ц м.п. х k i,</w:t>
      </w:r>
    </w:p>
    <w:p>
      <w:pPr>
        <w:pStyle w:val="style0"/>
        <w:spacing w:line="100" w:lineRule="atLeast"/>
      </w:pPr>
      <w:r>
        <w:rPr>
          <w:rFonts w:ascii="Times New Roman" w:hAnsi="Times New Roman"/>
          <w:sz w:val="24"/>
          <w:szCs w:val="24"/>
        </w:rPr>
        <w:t>де:</w:t>
      </w:r>
    </w:p>
    <w:p>
      <w:pPr>
        <w:pStyle w:val="style0"/>
        <w:spacing w:line="100" w:lineRule="atLeast"/>
      </w:pPr>
      <w:r>
        <w:rPr>
          <w:rFonts w:ascii="Times New Roman" w:hAnsi="Times New Roman"/>
          <w:sz w:val="24"/>
          <w:szCs w:val="24"/>
        </w:rPr>
        <w:t>ОВ i - очікувана вартість на підставі закупівельних цін минулих періодів;</w:t>
      </w:r>
    </w:p>
    <w:p>
      <w:pPr>
        <w:pStyle w:val="style0"/>
        <w:spacing w:line="100" w:lineRule="atLeast"/>
      </w:pPr>
      <w:r>
        <w:rPr>
          <w:rFonts w:ascii="Times New Roman" w:hAnsi="Times New Roman"/>
          <w:sz w:val="24"/>
          <w:szCs w:val="24"/>
        </w:rPr>
        <w:t>V - обсяг товарів/послуг, що закуповується;</w:t>
      </w:r>
    </w:p>
    <w:p>
      <w:pPr>
        <w:pStyle w:val="style0"/>
        <w:spacing w:line="100" w:lineRule="atLeast"/>
      </w:pPr>
      <w:r>
        <w:rPr>
          <w:rFonts w:ascii="Times New Roman" w:hAnsi="Times New Roman"/>
          <w:sz w:val="24"/>
          <w:szCs w:val="24"/>
        </w:rPr>
        <w:t>Ц м.п. - ціна минулого періоду;</w:t>
      </w:r>
    </w:p>
    <w:p>
      <w:pPr>
        <w:pStyle w:val="style0"/>
        <w:spacing w:line="100" w:lineRule="atLeast"/>
      </w:pPr>
      <w:r>
        <w:rPr>
          <w:rFonts w:ascii="Times New Roman" w:hAnsi="Times New Roman"/>
          <w:sz w:val="24"/>
          <w:szCs w:val="24"/>
        </w:rPr>
        <w:t xml:space="preserve">k i - коефіцієнт </w:t>
      </w:r>
      <w:r>
        <w:rPr>
          <w:rFonts w:ascii="Times New Roman" w:hAnsi="Times New Roman"/>
          <w:sz w:val="24"/>
          <w:szCs w:val="24"/>
          <w:lang w:val="uk-UA"/>
        </w:rPr>
        <w:t>інфляції</w:t>
      </w:r>
      <w:r>
        <w:rPr>
          <w:rFonts w:ascii="Times New Roman" w:hAnsi="Times New Roman"/>
          <w:sz w:val="24"/>
          <w:szCs w:val="24"/>
        </w:rPr>
        <w:t>.</w:t>
      </w:r>
    </w:p>
    <w:p>
      <w:pPr>
        <w:pStyle w:val="style0"/>
      </w:pPr>
      <w:r>
        <w:rPr>
          <w:rFonts w:ascii="Times New Roman" w:hAnsi="Times New Roman"/>
          <w:sz w:val="24"/>
          <w:szCs w:val="24"/>
        </w:rPr>
        <w:t xml:space="preserve">          </w:t>
      </w:r>
      <w:r>
        <w:rPr>
          <w:rFonts w:ascii="Times New Roman" w:hAnsi="Times New Roman"/>
          <w:b/>
          <w:sz w:val="24"/>
          <w:szCs w:val="24"/>
        </w:rPr>
        <w:t xml:space="preserve">Очікувана вартість закупівлі електричної енергії на </w:t>
      </w:r>
      <w:r>
        <w:rPr>
          <w:rFonts w:ascii="Times New Roman" w:hAnsi="Times New Roman"/>
          <w:b/>
          <w:sz w:val="24"/>
          <w:szCs w:val="24"/>
          <w:lang w:val="uk-UA"/>
        </w:rPr>
        <w:t>2024</w:t>
      </w:r>
      <w:r>
        <w:rPr>
          <w:rFonts w:ascii="Times New Roman" w:hAnsi="Times New Roman"/>
          <w:b/>
          <w:sz w:val="24"/>
          <w:szCs w:val="24"/>
        </w:rPr>
        <w:t xml:space="preserve"> рік, виходячи з очікуваного обсягу споживання електричної енергії на </w:t>
      </w:r>
      <w:r>
        <w:rPr>
          <w:rFonts w:ascii="Times New Roman" w:hAnsi="Times New Roman"/>
          <w:b/>
          <w:sz w:val="24"/>
          <w:szCs w:val="24"/>
          <w:lang w:val="uk-UA"/>
        </w:rPr>
        <w:t>2023</w:t>
      </w:r>
      <w:r>
        <w:rPr>
          <w:rFonts w:ascii="Times New Roman" w:hAnsi="Times New Roman"/>
          <w:b/>
          <w:sz w:val="24"/>
          <w:szCs w:val="24"/>
        </w:rPr>
        <w:t xml:space="preserve"> рік в розмірі 1</w:t>
      </w:r>
      <w:r>
        <w:rPr>
          <w:rFonts w:ascii="Times New Roman" w:hAnsi="Times New Roman"/>
          <w:b/>
          <w:sz w:val="24"/>
          <w:szCs w:val="24"/>
          <w:lang w:val="uk-UA"/>
        </w:rPr>
        <w:t>2</w:t>
      </w:r>
      <w:r>
        <w:rPr>
          <w:rFonts w:ascii="Times New Roman" w:hAnsi="Times New Roman"/>
          <w:b/>
          <w:sz w:val="24"/>
          <w:szCs w:val="24"/>
        </w:rPr>
        <w:t xml:space="preserve">0000 кВт*год (в т.ч. на потреби орендаря </w:t>
      </w:r>
      <w:r>
        <w:rPr>
          <w:rFonts w:ascii="Times New Roman" w:hAnsi="Times New Roman"/>
          <w:b/>
          <w:sz w:val="24"/>
          <w:szCs w:val="24"/>
          <w:lang w:val="uk-UA"/>
        </w:rPr>
        <w:t>38268</w:t>
      </w:r>
      <w:r>
        <w:rPr>
          <w:rFonts w:ascii="Times New Roman" w:hAnsi="Times New Roman"/>
          <w:b/>
          <w:sz w:val="24"/>
          <w:szCs w:val="24"/>
        </w:rPr>
        <w:t xml:space="preserve"> кВт*год), становить:</w:t>
      </w:r>
    </w:p>
    <w:p>
      <w:pPr>
        <w:pStyle w:val="style0"/>
      </w:pPr>
      <w:r>
        <w:rPr>
          <w:rFonts w:ascii="Times New Roman" w:hAnsi="Times New Roman"/>
          <w:b/>
          <w:sz w:val="24"/>
          <w:szCs w:val="24"/>
          <w:lang w:val="uk-UA"/>
        </w:rPr>
        <w:t>924000,00 грн. =120000</w:t>
      </w:r>
      <w:r>
        <w:rPr>
          <w:rFonts w:ascii="Times New Roman" w:hAnsi="Times New Roman"/>
          <w:b/>
          <w:sz w:val="24"/>
          <w:szCs w:val="24"/>
        </w:rPr>
        <w:t xml:space="preserve"> Квт*год х </w:t>
      </w:r>
      <w:r>
        <w:rPr>
          <w:rFonts w:ascii="Times New Roman" w:hAnsi="Times New Roman"/>
          <w:b/>
          <w:sz w:val="24"/>
          <w:szCs w:val="24"/>
          <w:lang w:val="uk-UA"/>
        </w:rPr>
        <w:t>6,16</w:t>
      </w:r>
      <w:r>
        <w:rPr>
          <w:rFonts w:ascii="Times New Roman" w:hAnsi="Times New Roman"/>
          <w:b/>
          <w:sz w:val="24"/>
          <w:szCs w:val="24"/>
        </w:rPr>
        <w:t xml:space="preserve"> грн./кВт*год  х </w:t>
      </w:r>
      <w:r>
        <w:rPr>
          <w:rFonts w:ascii="Times New Roman" w:hAnsi="Times New Roman"/>
          <w:b/>
          <w:sz w:val="24"/>
          <w:szCs w:val="24"/>
          <w:lang w:val="uk-UA"/>
        </w:rPr>
        <w:t>1,25</w:t>
      </w:r>
      <w:r>
        <w:rPr>
          <w:rFonts w:ascii="Times New Roman" w:hAnsi="Times New Roman"/>
          <w:b/>
          <w:sz w:val="24"/>
          <w:szCs w:val="24"/>
        </w:rPr>
        <w:t xml:space="preserve"> (в тому числі на потреби орендаря </w:t>
      </w:r>
      <w:r>
        <w:rPr>
          <w:rFonts w:ascii="Times New Roman" w:hAnsi="Times New Roman"/>
          <w:b/>
          <w:sz w:val="24"/>
          <w:szCs w:val="24"/>
          <w:lang w:val="uk-UA"/>
        </w:rPr>
        <w:t>38268</w:t>
      </w:r>
      <w:r>
        <w:rPr>
          <w:rFonts w:ascii="Times New Roman" w:hAnsi="Times New Roman"/>
          <w:b/>
          <w:sz w:val="24"/>
          <w:szCs w:val="24"/>
        </w:rPr>
        <w:t xml:space="preserve"> кВт*год. на суму </w:t>
      </w:r>
      <w:r>
        <w:rPr>
          <w:rFonts w:ascii="Times New Roman" w:hAnsi="Times New Roman"/>
          <w:b/>
          <w:sz w:val="24"/>
          <w:szCs w:val="24"/>
          <w:lang w:val="uk-UA"/>
        </w:rPr>
        <w:t>294664</w:t>
      </w:r>
      <w:r>
        <w:rPr>
          <w:rFonts w:ascii="Times New Roman" w:hAnsi="Times New Roman"/>
          <w:b/>
          <w:sz w:val="24"/>
          <w:szCs w:val="24"/>
        </w:rPr>
        <w:t>,00 грн.)</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cs="Times New Roman" w:hAnsi="Times New Roman"/>
          <w:b/>
          <w:i/>
          <w:sz w:val="24"/>
          <w:szCs w:val="24"/>
          <w:lang w:val="uk-UA"/>
        </w:rPr>
        <w:t>Нормативно-правове регулювання</w:t>
      </w:r>
      <w:r>
        <w:rPr>
          <w:rFonts w:ascii="Times New Roman" w:cs="Times New Roman" w:hAnsi="Times New Roman"/>
          <w:sz w:val="24"/>
          <w:szCs w:val="24"/>
          <w:lang w:val="uk-UA"/>
        </w:rPr>
        <w:t>. 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Постанова НКРЕКП №2099 від 09.11.2023 року,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Загальні положення. 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електропостачальниками, які отримали відповідну ліцензію, за договором постачання електричної енергії споживачу.</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Інформація про електропостачальника повинна міститись у переліку (ліцензійному реєстрі НКРЕКП)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вебсайті НКРЕКП у розділі:</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Електрична енергія  /  Ліцензування  /  Реєстри ліцензіатів (вид діяльності — постачання електричної енергії).</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Електропостачальник повинен забезпечити поставку електричної енергії на об’єкти замовника та підключений до місцевих розподільчих мереж відповідно до вимог Кодексу розподільчих систем, технічні та якісні характеристики якої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pPr>
        <w:pStyle w:val="style0"/>
        <w:spacing w:after="0" w:before="0" w:line="100" w:lineRule="atLeast"/>
        <w:contextualSpacing w:val="false"/>
        <w:jc w:val="both"/>
      </w:pPr>
      <w:r>
        <w:rPr>
          <w:rFonts w:ascii="Times New Roman" w:cs="Times New Roman" w:hAnsi="Times New Roman"/>
          <w:b/>
          <w:i/>
          <w:sz w:val="24"/>
          <w:szCs w:val="24"/>
          <w:lang w:val="uk-UA"/>
        </w:rPr>
        <w:tab/>
        <w:t>Обґрунтування технічних характеристик</w:t>
      </w:r>
      <w:r>
        <w:rPr>
          <w:rFonts w:ascii="Times New Roman" w:cs="Times New Roman" w:hAnsi="Times New Roman"/>
          <w:b/>
          <w:sz w:val="24"/>
          <w:szCs w:val="24"/>
          <w:lang w:val="uk-UA"/>
        </w:rPr>
        <w:t>.</w:t>
      </w:r>
      <w:r>
        <w:rPr>
          <w:rFonts w:ascii="Times New Roman" w:cs="Times New Roman" w:hAnsi="Times New Roman"/>
          <w:sz w:val="24"/>
          <w:szCs w:val="24"/>
          <w:lang w:val="uk-UA"/>
        </w:rPr>
        <w:t xml:space="preserve"> Термін постачання — з </w:t>
      </w:r>
      <w:r>
        <w:rPr>
          <w:rFonts w:ascii="Times New Roman" w:cs="Times New Roman" w:hAnsi="Times New Roman"/>
          <w:b/>
          <w:bCs/>
          <w:sz w:val="24"/>
          <w:szCs w:val="24"/>
          <w:lang w:val="uk-UA"/>
        </w:rPr>
        <w:t>01.01.2024р.</w:t>
      </w:r>
      <w:r>
        <w:rPr>
          <w:rFonts w:ascii="Times New Roman" w:cs="Times New Roman" w:hAnsi="Times New Roman"/>
          <w:sz w:val="24"/>
          <w:szCs w:val="24"/>
          <w:lang w:val="uk-UA"/>
        </w:rPr>
        <w:t xml:space="preserve"> по </w:t>
      </w:r>
      <w:r>
        <w:rPr>
          <w:rFonts w:ascii="Times New Roman" w:cs="Times New Roman" w:hAnsi="Times New Roman"/>
          <w:b/>
          <w:sz w:val="24"/>
          <w:szCs w:val="24"/>
          <w:lang w:val="uk-UA"/>
        </w:rPr>
        <w:t>31.12.2024р. включно</w:t>
      </w:r>
      <w:r>
        <w:rPr>
          <w:rFonts w:ascii="Times New Roman" w:cs="Times New Roman" w:hAnsi="Times New Roman"/>
          <w:sz w:val="24"/>
          <w:szCs w:val="24"/>
          <w:lang w:val="uk-UA"/>
        </w:rPr>
        <w:t>.</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 xml:space="preserve">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Обсяг, необхідний для забезпечення діяльності та власних потреб об’єктів замовника та орендарів,  враховуючи обсяги споживання переднього та поточного календарного року, становить </w:t>
      </w:r>
      <w:r>
        <w:rPr>
          <w:rFonts w:ascii="Times New Roman" w:cs="Times New Roman" w:hAnsi="Times New Roman"/>
          <w:b/>
          <w:sz w:val="24"/>
          <w:szCs w:val="24"/>
          <w:lang w:val="uk-UA"/>
        </w:rPr>
        <w:t>120 000 кВт.год на 2024р</w:t>
      </w:r>
      <w:r>
        <w:rPr>
          <w:rFonts w:ascii="Times New Roman" w:cs="Times New Roman" w:hAnsi="Times New Roman"/>
          <w:sz w:val="24"/>
          <w:szCs w:val="24"/>
          <w:lang w:val="uk-UA"/>
        </w:rPr>
        <w:t>.</w:t>
      </w:r>
    </w:p>
    <w:p>
      <w:pPr>
        <w:pStyle w:val="style0"/>
        <w:spacing w:after="0" w:before="0" w:line="100" w:lineRule="atLeast"/>
        <w:ind w:firstLine="567" w:left="0" w:right="0"/>
        <w:contextualSpacing w:val="false"/>
        <w:jc w:val="both"/>
      </w:pPr>
      <w:r>
        <w:rPr>
          <w:rFonts w:ascii="Times New Roman" w:cs="Times New Roman" w:hAnsi="Times New Roman"/>
          <w:b/>
          <w:bCs/>
          <w:i/>
          <w:iCs/>
          <w:sz w:val="24"/>
          <w:szCs w:val="24"/>
          <w:lang w:val="uk-UA"/>
        </w:rPr>
        <w:t>Обґрунтування якісних характеристик</w:t>
      </w:r>
      <w:r>
        <w:rPr>
          <w:rFonts w:ascii="Times New Roman" w:cs="Times New Roman" w:hAnsi="Times New Roman"/>
          <w:sz w:val="24"/>
          <w:szCs w:val="24"/>
          <w:lang w:val="uk-UA"/>
        </w:rPr>
        <w:t>. 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Електропостачальник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Електропостачальник зобов’язується дотримуватися передбачених чинним законодавством вимог щодо застосування заходів із захисту довкілля.</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Електропостачальник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Електропостачальник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w:t>
      </w:r>
    </w:p>
    <w:p>
      <w:pPr>
        <w:pStyle w:val="style0"/>
        <w:spacing w:after="0" w:before="0" w:line="100" w:lineRule="atLeast"/>
        <w:ind w:firstLine="567" w:left="0" w:right="0"/>
        <w:contextualSpacing w:val="false"/>
        <w:jc w:val="both"/>
      </w:pPr>
      <w:r>
        <w:rPr>
          <w:rFonts w:ascii="Times New Roman" w:cs="Times New Roman" w:hAnsi="Times New Roman"/>
          <w:sz w:val="24"/>
          <w:szCs w:val="24"/>
          <w:lang w:val="uk-UA"/>
        </w:rPr>
        <w:t>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веб-сайті порядок надання компенсацій та їх розміри.</w:t>
      </w:r>
    </w:p>
    <w:p>
      <w:pPr>
        <w:pStyle w:val="style0"/>
        <w:spacing w:after="0" w:before="0" w:line="100" w:lineRule="atLeast"/>
        <w:ind w:firstLine="567" w:left="0" w:right="0"/>
        <w:contextualSpacing w:val="false"/>
        <w:jc w:val="both"/>
      </w:pPr>
      <w:r>
        <w:rPr/>
      </w:r>
    </w:p>
    <w:p>
      <w:pPr>
        <w:pStyle w:val="style0"/>
        <w:spacing w:after="0" w:before="0" w:line="100" w:lineRule="atLeast"/>
        <w:ind w:firstLine="567" w:left="0" w:right="0"/>
        <w:contextualSpacing w:val="false"/>
        <w:jc w:val="both"/>
      </w:pPr>
      <w:r>
        <w:rPr>
          <w:rFonts w:ascii="Times New Roman" w:hAnsi="Times New Roman"/>
          <w:b/>
          <w:sz w:val="24"/>
          <w:szCs w:val="24"/>
          <w:lang w:val="uk-UA"/>
        </w:rPr>
        <w:t xml:space="preserve">Нормативно-правові акти, що формують підстави застосування </w:t>
      </w:r>
      <w:r>
        <w:rPr>
          <w:rFonts w:ascii="Times New Roman" w:cs="Times New Roman" w:eastAsia="Times New Roman" w:hAnsi="Times New Roman"/>
          <w:b/>
          <w:sz w:val="24"/>
          <w:szCs w:val="24"/>
          <w:lang w:eastAsia="ru-RU" w:val="uk-UA"/>
        </w:rPr>
        <w:t>процедури відкритих торгів з особливостями:</w:t>
      </w:r>
    </w:p>
    <w:p>
      <w:pPr>
        <w:pStyle w:val="style24"/>
        <w:spacing w:after="0" w:before="0" w:line="100" w:lineRule="atLeast"/>
        <w:ind w:hanging="0" w:left="0" w:right="0"/>
        <w:contextualSpacing/>
        <w:jc w:val="both"/>
      </w:pPr>
      <w:r>
        <w:rPr>
          <w:rFonts w:ascii="Times New Roman" w:hAnsi="Times New Roman"/>
          <w:i/>
          <w:sz w:val="24"/>
          <w:szCs w:val="24"/>
          <w:lang w:val="uk-UA"/>
        </w:rPr>
        <w:t xml:space="preserve">1.Закон України </w:t>
      </w:r>
      <w:r>
        <w:rPr>
          <w:rFonts w:ascii="Times New Roman" w:cs="Times New Roman" w:eastAsia="Times New Roman" w:hAnsi="Times New Roman"/>
          <w:i/>
          <w:sz w:val="24"/>
          <w:szCs w:val="24"/>
          <w:lang w:eastAsia="ru-RU" w:val="uk-UA"/>
        </w:rPr>
        <w:t xml:space="preserve">“Про публічні закупівлі” №922-VIII від 25.12.2015 року, в редакції від 19.04.2020 №114-IX в редакції зі змінами </w:t>
      </w:r>
      <w:r>
        <w:rPr>
          <w:rFonts w:ascii="Times New Roman" w:hAnsi="Times New Roman"/>
          <w:i/>
          <w:sz w:val="24"/>
          <w:szCs w:val="24"/>
          <w:lang w:val="uk-UA"/>
        </w:rPr>
        <w:t xml:space="preserve">до Закону України "Про публічні закупівлі" та інших законодавчих актів України щодо здійснення оборонних та публічних закупівель на період дії правового режиму воєнного стану» №7163 від 14.03.2022 року, зокрема в частині дії </w:t>
      </w:r>
      <w:r>
        <w:rPr>
          <w:rFonts w:ascii="Times New Roman" w:hAnsi="Times New Roman"/>
          <w:i/>
          <w:color w:val="000000"/>
          <w:sz w:val="24"/>
          <w:szCs w:val="24"/>
          <w:lang w:val="uk-UA"/>
        </w:rPr>
        <w:t>пунктів 3</w:t>
      </w:r>
      <w:r>
        <w:rPr>
          <w:rFonts w:ascii="Times New Roman" w:hAnsi="Times New Roman"/>
          <w:i/>
          <w:color w:val="000000"/>
          <w:sz w:val="24"/>
          <w:szCs w:val="24"/>
          <w:vertAlign w:val="superscript"/>
          <w:lang w:val="uk-UA"/>
        </w:rPr>
        <w:t>7</w:t>
      </w:r>
      <w:r>
        <w:rPr>
          <w:rFonts w:ascii="Times New Roman" w:hAnsi="Times New Roman"/>
          <w:i/>
          <w:color w:val="000000"/>
          <w:sz w:val="24"/>
          <w:szCs w:val="24"/>
          <w:lang w:val="uk-UA"/>
        </w:rPr>
        <w:t>-3</w:t>
      </w:r>
      <w:r>
        <w:rPr>
          <w:rFonts w:ascii="Times New Roman" w:hAnsi="Times New Roman"/>
          <w:i/>
          <w:color w:val="000000"/>
          <w:sz w:val="24"/>
          <w:szCs w:val="24"/>
          <w:vertAlign w:val="superscript"/>
          <w:lang w:val="uk-UA"/>
        </w:rPr>
        <w:t>8</w:t>
      </w:r>
      <w:r>
        <w:rPr>
          <w:rFonts w:ascii="Times New Roman" w:hAnsi="Times New Roman"/>
          <w:i/>
          <w:color w:val="000000"/>
          <w:sz w:val="24"/>
          <w:szCs w:val="24"/>
          <w:lang w:val="uk-UA"/>
        </w:rPr>
        <w:t xml:space="preserve"> розділу Х “Прикінцеві та перехідні положення” Закону.</w:t>
      </w:r>
    </w:p>
    <w:p>
      <w:pPr>
        <w:pStyle w:val="style0"/>
        <w:spacing w:after="0" w:before="0" w:line="100" w:lineRule="atLeast"/>
        <w:ind w:hanging="0" w:left="67" w:right="0"/>
        <w:contextualSpacing w:val="false"/>
        <w:jc w:val="both"/>
      </w:pPr>
      <w:r>
        <w:rPr>
          <w:rFonts w:ascii="Times New Roman" w:hAnsi="Times New Roman"/>
          <w:i/>
          <w:sz w:val="24"/>
          <w:szCs w:val="24"/>
          <w:lang w:val="uk-UA"/>
        </w:rPr>
        <w:t>2. Постанова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p>
    <w:p>
      <w:pPr>
        <w:pStyle w:val="style0"/>
        <w:spacing w:after="0" w:before="0" w:line="100" w:lineRule="atLeast"/>
        <w:ind w:hanging="0" w:left="56" w:right="0"/>
        <w:contextualSpacing w:val="false"/>
        <w:jc w:val="both"/>
      </w:pPr>
      <w:r>
        <w:rPr>
          <w:rFonts w:ascii="Times New Roman" w:hAnsi="Times New Roman"/>
          <w:i/>
          <w:sz w:val="24"/>
          <w:szCs w:val="24"/>
          <w:lang w:val="uk-UA"/>
        </w:rPr>
        <w:t>3. Лист Мінекономіки України «Щодо особливостей здійснення публічних закупівель</w:t>
      </w:r>
    </w:p>
    <w:p>
      <w:pPr>
        <w:pStyle w:val="style0"/>
        <w:spacing w:after="0" w:before="0" w:line="100" w:lineRule="atLeast"/>
        <w:ind w:hanging="0" w:left="56" w:right="0"/>
        <w:contextualSpacing w:val="false"/>
        <w:jc w:val="both"/>
      </w:pPr>
      <w:bookmarkStart w:id="1" w:name="_GoBack"/>
      <w:bookmarkEnd w:id="1"/>
      <w:r>
        <w:rPr>
          <w:rFonts w:ascii="Times New Roman" w:hAnsi="Times New Roman"/>
          <w:i/>
          <w:sz w:val="24"/>
          <w:szCs w:val="24"/>
          <w:lang w:val="uk-UA"/>
        </w:rPr>
        <w:t>на період дії правового режиму воєнного стану та протягом 90 днів з дня його припинення або скасування»№ 3323-04_70997-06 від 20.10.2022 року.</w:t>
      </w:r>
    </w:p>
    <w:sectPr>
      <w:type w:val="nextPage"/>
      <w:pgSz w:h="16838" w:w="11906"/>
      <w:pgMar w:bottom="1134" w:footer="0" w:gutter="0" w:header="0" w:left="1724" w:right="850" w:top="568"/>
      <w:pgNumType w:fmt="decimal"/>
      <w:formProt w:val="false"/>
      <w:textDirection w:val="lrTb"/>
      <w:docGrid w:charSpace="61440" w:linePitch="52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OpenSymbol">
    <w:altName w:val="Arial Unicode MS"/>
    <w:charset w:val="80"/>
    <w:family w:val="auto"/>
    <w:pitch w:val="default"/>
  </w:font>
  <w:font w:name="Arial">
    <w:charset w:val="cc"/>
    <w:family w:val="swiss"/>
    <w:pitch w:val="variable"/>
  </w:font>
</w:fonts>
</file>

<file path=word/settings.xml><?xml version="1.0" encoding="utf-8"?>
<w:settings xmlns:w="http://schemas.openxmlformats.org/wordprocessingml/2006/main">
  <w:zoom w:percent="134"/>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 w:type="paragraph">
    <w:name w:val="Heading 1"/>
    <w:basedOn w:val="style19"/>
    <w:next w:val="style1"/>
    <w:pPr/>
    <w:rPr/>
  </w:style>
  <w:style w:styleId="style2" w:type="paragraph">
    <w:name w:val="Заголовок 2"/>
    <w:basedOn w:val="style19"/>
    <w:next w:val="style2"/>
    <w:pPr/>
    <w:rPr/>
  </w:style>
  <w:style w:styleId="style3" w:type="paragraph">
    <w:name w:val="Заголовок 3"/>
    <w:basedOn w:val="style19"/>
    <w:next w:val="style3"/>
    <w:pPr/>
    <w:rPr/>
  </w:style>
  <w:style w:styleId="style15" w:type="character">
    <w:name w:val="Default Paragraph Font"/>
    <w:next w:val="style15"/>
    <w:rPr/>
  </w:style>
  <w:style w:styleId="style16" w:type="character">
    <w:name w:val="Гіперпосилання"/>
    <w:basedOn w:val="style15"/>
    <w:next w:val="style16"/>
    <w:rPr>
      <w:color w:val="0000FF"/>
      <w:u w:val="single"/>
      <w:lang w:bidi="zxx-" w:eastAsia="zxx-" w:val="zxx-"/>
    </w:rPr>
  </w:style>
  <w:style w:styleId="style17" w:type="character">
    <w:name w:val="ListLabel 1"/>
    <w:next w:val="style17"/>
    <w:rPr>
      <w:rFonts w:cs="Times New Roman" w:eastAsia="Times New Roman"/>
    </w:rPr>
  </w:style>
  <w:style w:styleId="style18" w:type="character">
    <w:name w:val="Маркери списку"/>
    <w:next w:val="style18"/>
    <w:rPr>
      <w:rFonts w:ascii="OpenSymbol" w:cs="OpenSymbol" w:eastAsia="OpenSymbol" w:hAnsi="OpenSymbol"/>
    </w:rPr>
  </w:style>
  <w:style w:styleId="style19" w:type="paragraph">
    <w:name w:val="Заголовок"/>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Список"/>
    <w:basedOn w:val="style20"/>
    <w:next w:val="style21"/>
    <w:pPr/>
    <w:rPr>
      <w:rFonts w:cs="Mangal"/>
    </w:rPr>
  </w:style>
  <w:style w:styleId="style22" w:type="paragraph">
    <w:name w:val="Розділ"/>
    <w:basedOn w:val="style0"/>
    <w:next w:val="style22"/>
    <w:pPr>
      <w:suppressLineNumbers/>
      <w:spacing w:after="120" w:before="120"/>
      <w:contextualSpacing w:val="false"/>
    </w:pPr>
    <w:rPr>
      <w:rFonts w:cs="Mangal"/>
      <w:i/>
      <w:iCs/>
      <w:sz w:val="24"/>
      <w:szCs w:val="24"/>
    </w:rPr>
  </w:style>
  <w:style w:styleId="style23" w:type="paragraph">
    <w:name w:val="Покажчик"/>
    <w:basedOn w:val="style0"/>
    <w:next w:val="style23"/>
    <w:pPr>
      <w:suppressLineNumbers/>
    </w:pPr>
    <w:rPr>
      <w:rFonts w:cs="Mangal"/>
    </w:rPr>
  </w:style>
  <w:style w:styleId="style24" w:type="paragraph">
    <w:name w:val="List Paragraph"/>
    <w:basedOn w:val="style0"/>
    <w:next w:val="style24"/>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ree.com.u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2022-11-18T08:51:00.00Z</dcterms:created>
  <dc:creator>Користувач</dc:creator>
  <cp:lastModifiedBy>DKSU</cp:lastModifiedBy>
  <cp:lastPrinted>2023-11-14T15:45:29.00Z</cp:lastPrinted>
  <dcterms:modified xsi:type="dcterms:W3CDTF">2022-11-18T08:51:00.00Z</dcterms:modified>
  <cp:revision>2</cp:revision>
</cp:coreProperties>
</file>